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7" w:type="dxa"/>
        <w:tblInd w:w="-97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8"/>
        <w:gridCol w:w="5169"/>
      </w:tblGrid>
      <w:tr w:rsidR="00BB5790" w:rsidRPr="005136D5" w14:paraId="47DDF6FA" w14:textId="77777777" w:rsidTr="001A749B">
        <w:trPr>
          <w:trHeight w:val="1685"/>
        </w:trPr>
        <w:tc>
          <w:tcPr>
            <w:tcW w:w="5758" w:type="dxa"/>
          </w:tcPr>
          <w:p w14:paraId="204C95C2" w14:textId="77777777" w:rsidR="00BB5790" w:rsidRPr="005136D5" w:rsidRDefault="00BB5790" w:rsidP="00BB5790">
            <w:pPr>
              <w:ind w:hanging="108"/>
              <w:jc w:val="center"/>
              <w:rPr>
                <w:rFonts w:ascii="Commerce" w:hAnsi="Commerce"/>
                <w:b/>
              </w:rPr>
            </w:pPr>
            <w:r>
              <w:rPr>
                <w:rFonts w:ascii="Commerce" w:hAnsi="Commerce" w:cs="Arial"/>
                <w:noProof/>
                <w:sz w:val="32"/>
                <w:szCs w:val="32"/>
              </w:rPr>
              <w:drawing>
                <wp:inline distT="0" distB="0" distL="0" distR="0" wp14:anchorId="44347C52" wp14:editId="2C921D0C">
                  <wp:extent cx="1282700" cy="100965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5EB9E" w14:textId="5D47797F" w:rsidR="00EF0F98" w:rsidRDefault="00EF0F98" w:rsidP="00BB5790">
            <w:pPr>
              <w:tabs>
                <w:tab w:val="left" w:pos="468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CÔNG TY CỔ PHẦN ĐẦU TƯ </w:t>
            </w:r>
          </w:p>
          <w:p w14:paraId="3EE3231F" w14:textId="01CCC93F" w:rsidR="00BB5790" w:rsidRPr="001A749B" w:rsidRDefault="00EF0F98" w:rsidP="00BB5790">
            <w:pPr>
              <w:tabs>
                <w:tab w:val="left" w:pos="468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VÀ PHÁT TRIỂN ĐÔ THỊ LONG GIANG</w:t>
            </w:r>
          </w:p>
          <w:p w14:paraId="2AC7374D" w14:textId="77777777" w:rsidR="00BB5790" w:rsidRPr="005136D5" w:rsidRDefault="00BB5790" w:rsidP="00BB5790">
            <w:pPr>
              <w:pStyle w:val="PNORMAL"/>
              <w:spacing w:before="0" w:after="0" w:line="160" w:lineRule="atLeast"/>
              <w:jc w:val="center"/>
              <w:rPr>
                <w:rFonts w:ascii="Commerce" w:hAnsi="Commerce" w:cs="Times New Roman"/>
                <w:szCs w:val="24"/>
              </w:rPr>
            </w:pPr>
            <w:r w:rsidRPr="005136D5">
              <w:rPr>
                <w:rFonts w:ascii="Commerce" w:eastAsia="Times New Roman" w:hAnsi="Commerce" w:cs="Times New Roman"/>
                <w:szCs w:val="24"/>
              </w:rPr>
              <w:t xml:space="preserve">... </w:t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61"/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31"/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62"/>
            </w:r>
            <w:r w:rsidRPr="005136D5">
              <w:rPr>
                <w:rFonts w:ascii="Commerce" w:eastAsia="Times New Roman" w:hAnsi="Commerce" w:cs="Times New Roman"/>
                <w:szCs w:val="24"/>
              </w:rPr>
              <w:t>...</w:t>
            </w:r>
          </w:p>
          <w:p w14:paraId="37A1530C" w14:textId="2E7B30CC" w:rsidR="00BB5790" w:rsidRPr="001A749B" w:rsidRDefault="00BB5790" w:rsidP="00FF5964">
            <w:pPr>
              <w:tabs>
                <w:tab w:val="left" w:pos="4680"/>
              </w:tabs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1A749B">
              <w:rPr>
                <w:rFonts w:asciiTheme="majorHAnsi" w:hAnsiTheme="majorHAnsi" w:cstheme="majorHAnsi"/>
                <w:color w:val="222222"/>
                <w:szCs w:val="22"/>
              </w:rPr>
              <w:t>S</w:t>
            </w:r>
            <w:r w:rsidRPr="001A749B">
              <w:rPr>
                <w:rFonts w:asciiTheme="majorHAnsi" w:eastAsia="Calibri" w:hAnsiTheme="majorHAnsi" w:cstheme="majorHAnsi"/>
                <w:color w:val="222222"/>
                <w:szCs w:val="22"/>
              </w:rPr>
              <w:t>ố</w:t>
            </w:r>
            <w:r w:rsidRPr="001A749B">
              <w:rPr>
                <w:rFonts w:asciiTheme="majorHAnsi" w:hAnsiTheme="majorHAnsi" w:cstheme="majorHAnsi"/>
                <w:color w:val="222222"/>
                <w:szCs w:val="22"/>
              </w:rPr>
              <w:t xml:space="preserve">: </w:t>
            </w:r>
            <w:r w:rsidR="00FF5964">
              <w:rPr>
                <w:rFonts w:asciiTheme="majorHAnsi" w:hAnsiTheme="majorHAnsi" w:cstheme="majorHAnsi"/>
                <w:color w:val="222222"/>
                <w:szCs w:val="22"/>
              </w:rPr>
              <w:t>01</w:t>
            </w:r>
            <w:r w:rsidRPr="001A749B">
              <w:rPr>
                <w:rFonts w:asciiTheme="majorHAnsi" w:hAnsiTheme="majorHAnsi" w:cstheme="majorHAnsi"/>
                <w:color w:val="222222"/>
                <w:szCs w:val="22"/>
              </w:rPr>
              <w:t xml:space="preserve"> /HĐQT-ĐHĐCĐTN</w:t>
            </w:r>
          </w:p>
        </w:tc>
        <w:tc>
          <w:tcPr>
            <w:tcW w:w="5169" w:type="dxa"/>
          </w:tcPr>
          <w:p w14:paraId="42FBD78A" w14:textId="77777777" w:rsidR="00BB5790" w:rsidRDefault="00BB5790" w:rsidP="00BB5790">
            <w:pPr>
              <w:keepNext/>
              <w:tabs>
                <w:tab w:val="left" w:pos="615"/>
                <w:tab w:val="left" w:pos="4680"/>
              </w:tabs>
              <w:jc w:val="center"/>
              <w:outlineLvl w:val="6"/>
              <w:rPr>
                <w:rFonts w:ascii="VNI-HandelGothic" w:hAnsi="VNI-HandelGothic"/>
                <w:b/>
                <w:bCs/>
              </w:rPr>
            </w:pPr>
          </w:p>
          <w:p w14:paraId="52889D5A" w14:textId="1A0CD2EF" w:rsidR="00BB5790" w:rsidRPr="001A749B" w:rsidRDefault="00FE3044" w:rsidP="00BB5790">
            <w:pPr>
              <w:keepNext/>
              <w:tabs>
                <w:tab w:val="left" w:pos="615"/>
                <w:tab w:val="left" w:pos="4680"/>
              </w:tabs>
              <w:jc w:val="center"/>
              <w:outlineLvl w:val="6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CỘNG HÒA XÃ HỘI CHỦ NGHĨA VIỆT NAM</w:t>
            </w:r>
          </w:p>
          <w:p w14:paraId="5E0965D4" w14:textId="484B9311" w:rsidR="00BB5790" w:rsidRPr="001A749B" w:rsidRDefault="00FE3044" w:rsidP="00BB5790">
            <w:pPr>
              <w:tabs>
                <w:tab w:val="left" w:pos="4680"/>
              </w:tabs>
              <w:jc w:val="center"/>
              <w:rPr>
                <w:rFonts w:asciiTheme="majorHAnsi" w:hAnsiTheme="majorHAnsi" w:cstheme="majorHAnsi"/>
                <w:b/>
                <w:bCs/>
                <w:color w:val="222222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Độc lập – Tư do – Hạnh phúc</w:t>
            </w:r>
          </w:p>
          <w:p w14:paraId="29945194" w14:textId="77777777" w:rsidR="00BB5790" w:rsidRPr="005136D5" w:rsidRDefault="00BB5790" w:rsidP="00BB5790">
            <w:pPr>
              <w:pStyle w:val="PNORMAL"/>
              <w:spacing w:before="0" w:after="0"/>
              <w:jc w:val="center"/>
              <w:rPr>
                <w:rFonts w:ascii="Commerce" w:hAnsi="Commerce" w:cs="Times New Roman"/>
                <w:szCs w:val="24"/>
              </w:rPr>
            </w:pPr>
            <w:r w:rsidRPr="005136D5">
              <w:rPr>
                <w:rFonts w:ascii="Commerce" w:eastAsia="Times New Roman" w:hAnsi="Commerce" w:cs="Times New Roman"/>
                <w:szCs w:val="24"/>
              </w:rPr>
              <w:t xml:space="preserve">............. </w:t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61"/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31"/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62"/>
            </w:r>
            <w:r w:rsidRPr="005136D5">
              <w:rPr>
                <w:rFonts w:ascii="Commerce" w:eastAsia="Times New Roman" w:hAnsi="Commerce" w:cs="Times New Roman"/>
                <w:szCs w:val="24"/>
              </w:rPr>
              <w:t>..............</w:t>
            </w:r>
          </w:p>
          <w:p w14:paraId="3A0A7342" w14:textId="77777777" w:rsidR="00BB5790" w:rsidRDefault="00BB5790" w:rsidP="00BB5790">
            <w:pPr>
              <w:keepNext/>
              <w:widowControl w:val="0"/>
              <w:jc w:val="center"/>
              <w:outlineLvl w:val="5"/>
              <w:rPr>
                <w:rFonts w:ascii="Commerce" w:hAnsi="Commerce"/>
                <w:i/>
                <w:iCs/>
                <w:sz w:val="26"/>
                <w:szCs w:val="26"/>
              </w:rPr>
            </w:pPr>
          </w:p>
          <w:p w14:paraId="3DF4724F" w14:textId="77777777" w:rsidR="00BB5790" w:rsidRPr="005136D5" w:rsidRDefault="00BB5790" w:rsidP="00BB5790">
            <w:pPr>
              <w:keepNext/>
              <w:widowControl w:val="0"/>
              <w:jc w:val="center"/>
              <w:outlineLvl w:val="5"/>
              <w:rPr>
                <w:rFonts w:ascii="Commerce" w:hAnsi="Commerce"/>
                <w:i/>
                <w:iCs/>
                <w:sz w:val="26"/>
                <w:szCs w:val="26"/>
              </w:rPr>
            </w:pPr>
          </w:p>
          <w:p w14:paraId="65D2178A" w14:textId="79053CAF" w:rsidR="00BB5790" w:rsidRPr="001A749B" w:rsidRDefault="00BB5790" w:rsidP="00FF5964">
            <w:pPr>
              <w:keepNext/>
              <w:widowControl w:val="0"/>
              <w:jc w:val="center"/>
              <w:outlineLvl w:val="5"/>
              <w:rPr>
                <w:rFonts w:asciiTheme="majorHAnsi" w:hAnsiTheme="majorHAnsi" w:cstheme="majorHAnsi"/>
                <w:i/>
                <w:iCs/>
              </w:rPr>
            </w:pPr>
            <w:r w:rsidRPr="001A749B">
              <w:rPr>
                <w:rFonts w:asciiTheme="majorHAnsi" w:hAnsiTheme="majorHAnsi" w:cstheme="majorHAnsi"/>
                <w:i/>
                <w:iCs/>
              </w:rPr>
              <w:t>Hà n</w:t>
            </w:r>
            <w:r w:rsidRPr="001A749B">
              <w:rPr>
                <w:rFonts w:asciiTheme="majorHAnsi" w:eastAsia="Calibri" w:hAnsiTheme="majorHAnsi" w:cstheme="majorHAnsi"/>
                <w:i/>
                <w:iCs/>
              </w:rPr>
              <w:t>ộ</w:t>
            </w:r>
            <w:r w:rsidRPr="001A749B">
              <w:rPr>
                <w:rFonts w:asciiTheme="majorHAnsi" w:hAnsiTheme="majorHAnsi" w:cstheme="majorHAnsi"/>
                <w:i/>
                <w:iCs/>
              </w:rPr>
              <w:t xml:space="preserve">i, ngày  </w:t>
            </w:r>
            <w:r w:rsidR="00FF5964">
              <w:rPr>
                <w:rFonts w:asciiTheme="majorHAnsi" w:hAnsiTheme="majorHAnsi" w:cstheme="majorHAnsi"/>
                <w:i/>
                <w:iCs/>
              </w:rPr>
              <w:t>10</w:t>
            </w:r>
            <w:r w:rsidRPr="001A749B">
              <w:rPr>
                <w:rFonts w:asciiTheme="majorHAnsi" w:hAnsiTheme="majorHAnsi" w:cstheme="majorHAnsi"/>
                <w:i/>
                <w:iCs/>
              </w:rPr>
              <w:t xml:space="preserve"> tháng  </w:t>
            </w:r>
            <w:r w:rsidR="00FF5964">
              <w:rPr>
                <w:rFonts w:asciiTheme="majorHAnsi" w:hAnsiTheme="majorHAnsi" w:cstheme="majorHAnsi"/>
                <w:i/>
                <w:iCs/>
              </w:rPr>
              <w:t xml:space="preserve">04 </w:t>
            </w:r>
            <w:r w:rsidRPr="001A749B">
              <w:rPr>
                <w:rFonts w:asciiTheme="majorHAnsi" w:hAnsiTheme="majorHAnsi" w:cstheme="majorHAnsi"/>
                <w:i/>
                <w:iCs/>
              </w:rPr>
              <w:t xml:space="preserve"> năm 201</w:t>
            </w:r>
            <w:r w:rsidR="000345A8" w:rsidRPr="001A749B">
              <w:rPr>
                <w:rFonts w:asciiTheme="majorHAnsi" w:hAnsiTheme="majorHAnsi" w:cstheme="majorHAnsi"/>
                <w:i/>
                <w:iCs/>
              </w:rPr>
              <w:t>7</w:t>
            </w:r>
          </w:p>
        </w:tc>
      </w:tr>
    </w:tbl>
    <w:p w14:paraId="2958B99A" w14:textId="77777777" w:rsidR="00BB5790" w:rsidRPr="005F125F" w:rsidRDefault="00BB5790" w:rsidP="00BB5790"/>
    <w:p w14:paraId="4BD5082F" w14:textId="77777777" w:rsidR="00BB5790" w:rsidRPr="001A749B" w:rsidRDefault="00BB5790" w:rsidP="00BB5790">
      <w:pPr>
        <w:jc w:val="center"/>
        <w:rPr>
          <w:rFonts w:cs="Tahoma"/>
          <w:b/>
          <w:bCs/>
          <w:sz w:val="26"/>
          <w:szCs w:val="26"/>
        </w:rPr>
      </w:pPr>
      <w:r w:rsidRPr="001A749B">
        <w:rPr>
          <w:rFonts w:cs="Tahoma"/>
          <w:b/>
          <w:bCs/>
          <w:sz w:val="26"/>
          <w:szCs w:val="26"/>
        </w:rPr>
        <w:t xml:space="preserve">TỜ TRÌNH CỦA HỘI ĐỒNG QUẢN TRỊ </w:t>
      </w:r>
    </w:p>
    <w:p w14:paraId="46A7D89A" w14:textId="77777777" w:rsidR="00BB5790" w:rsidRPr="001A749B" w:rsidRDefault="00BB5790" w:rsidP="00BB5790">
      <w:pPr>
        <w:jc w:val="center"/>
        <w:rPr>
          <w:rFonts w:cs="Tahoma"/>
          <w:b/>
          <w:bCs/>
          <w:sz w:val="26"/>
          <w:szCs w:val="26"/>
        </w:rPr>
      </w:pPr>
      <w:r w:rsidRPr="001A749B">
        <w:rPr>
          <w:rFonts w:cs="Tahoma"/>
          <w:b/>
          <w:bCs/>
          <w:sz w:val="26"/>
          <w:szCs w:val="26"/>
        </w:rPr>
        <w:t>CÔNG TY CỔ PHẦN ĐẦU TƯ VÀ PHÁT TRIỂN ĐÔ THỊ LONG GIANG</w:t>
      </w:r>
    </w:p>
    <w:p w14:paraId="302D6A82" w14:textId="65F3FFE4" w:rsidR="00BB5790" w:rsidRPr="001A749B" w:rsidRDefault="00BB5790" w:rsidP="00BB5790">
      <w:pPr>
        <w:jc w:val="center"/>
        <w:rPr>
          <w:rFonts w:cs="Tahoma"/>
          <w:i/>
          <w:iCs/>
          <w:sz w:val="26"/>
          <w:szCs w:val="26"/>
        </w:rPr>
      </w:pPr>
      <w:r w:rsidRPr="001A749B">
        <w:rPr>
          <w:rFonts w:cs="Tahoma"/>
          <w:i/>
          <w:iCs/>
          <w:sz w:val="26"/>
          <w:szCs w:val="26"/>
        </w:rPr>
        <w:t xml:space="preserve"> (V/v: </w:t>
      </w:r>
      <w:r w:rsidR="0050454B">
        <w:rPr>
          <w:rFonts w:cs="Tahoma"/>
          <w:i/>
          <w:iCs/>
          <w:sz w:val="26"/>
          <w:szCs w:val="26"/>
        </w:rPr>
        <w:t>B</w:t>
      </w:r>
      <w:r w:rsidR="00AB4771" w:rsidRPr="001A749B">
        <w:rPr>
          <w:rFonts w:cs="Tahoma"/>
          <w:i/>
          <w:iCs/>
          <w:sz w:val="26"/>
          <w:szCs w:val="26"/>
        </w:rPr>
        <w:t>áo cáo kết quả phát hành cổ phiếu để tăng vốn điều lệ và sửa đổi Điều lệ</w:t>
      </w:r>
      <w:r w:rsidRPr="001A749B">
        <w:rPr>
          <w:rFonts w:cs="Tahoma"/>
          <w:i/>
          <w:iCs/>
          <w:sz w:val="26"/>
          <w:szCs w:val="26"/>
        </w:rPr>
        <w:t>)</w:t>
      </w:r>
    </w:p>
    <w:p w14:paraId="595BB98B" w14:textId="77777777" w:rsidR="00BB5790" w:rsidRPr="001A749B" w:rsidRDefault="00BB5790" w:rsidP="00BB5790">
      <w:pPr>
        <w:jc w:val="center"/>
        <w:rPr>
          <w:rFonts w:cs="Tahoma"/>
          <w:i/>
          <w:iCs/>
          <w:sz w:val="26"/>
          <w:szCs w:val="26"/>
        </w:rPr>
      </w:pPr>
    </w:p>
    <w:p w14:paraId="2EE9EBCE" w14:textId="6E125B2E" w:rsidR="00BB5790" w:rsidRPr="001A749B" w:rsidRDefault="00BB5790" w:rsidP="00BB5790">
      <w:pPr>
        <w:spacing w:after="120"/>
        <w:jc w:val="center"/>
        <w:rPr>
          <w:rFonts w:cs="Tahoma"/>
          <w:b/>
          <w:sz w:val="26"/>
          <w:szCs w:val="26"/>
        </w:rPr>
      </w:pPr>
      <w:r w:rsidRPr="001A749B">
        <w:rPr>
          <w:rFonts w:cs="Tahoma"/>
          <w:b/>
          <w:sz w:val="26"/>
          <w:szCs w:val="26"/>
        </w:rPr>
        <w:t>Kính gửi</w:t>
      </w:r>
      <w:r w:rsidRPr="001A749B">
        <w:rPr>
          <w:rFonts w:cs="Tahoma"/>
          <w:sz w:val="26"/>
          <w:szCs w:val="26"/>
        </w:rPr>
        <w:t xml:space="preserve">: </w:t>
      </w:r>
      <w:r w:rsidR="001A749B" w:rsidRPr="001A749B">
        <w:rPr>
          <w:rFonts w:cs="Tahoma"/>
          <w:b/>
          <w:sz w:val="26"/>
          <w:szCs w:val="26"/>
        </w:rPr>
        <w:t>Đại hội đồng cổ đông thường niên năm 2017</w:t>
      </w:r>
    </w:p>
    <w:p w14:paraId="7F52BD28" w14:textId="77777777" w:rsidR="00D64DE7" w:rsidRPr="005F125F" w:rsidRDefault="00D64DE7" w:rsidP="00BB5790">
      <w:pPr>
        <w:spacing w:after="120"/>
        <w:jc w:val="center"/>
        <w:rPr>
          <w:rFonts w:cs="Tahoma"/>
          <w:b/>
        </w:rPr>
      </w:pPr>
    </w:p>
    <w:p w14:paraId="242F972D" w14:textId="2C26E780" w:rsidR="00D64DE7" w:rsidRPr="00D64DE7" w:rsidRDefault="00BB5790" w:rsidP="001A749B">
      <w:pPr>
        <w:spacing w:before="120" w:line="400" w:lineRule="exact"/>
        <w:ind w:firstLine="567"/>
        <w:jc w:val="both"/>
        <w:rPr>
          <w:rFonts w:cs="Tahoma"/>
          <w:sz w:val="26"/>
          <w:szCs w:val="26"/>
        </w:rPr>
      </w:pPr>
      <w:r w:rsidRPr="00D64DE7">
        <w:rPr>
          <w:rFonts w:cs="Tahoma"/>
          <w:sz w:val="26"/>
          <w:szCs w:val="26"/>
        </w:rPr>
        <w:t>Hội đồng quản trị Công ty CPĐT &amp; PTĐT Long Giang kính trình Đại hội đồng Cổ đông thường niên năm 201</w:t>
      </w:r>
      <w:r w:rsidR="000345A8" w:rsidRPr="00D64DE7">
        <w:rPr>
          <w:rFonts w:cs="Tahoma"/>
          <w:sz w:val="26"/>
          <w:szCs w:val="26"/>
        </w:rPr>
        <w:t>7</w:t>
      </w:r>
      <w:r w:rsidRPr="00D64DE7">
        <w:rPr>
          <w:rFonts w:cs="Tahoma"/>
          <w:sz w:val="26"/>
          <w:szCs w:val="26"/>
        </w:rPr>
        <w:t xml:space="preserve"> thông qua </w:t>
      </w:r>
      <w:r w:rsidR="00AB4771">
        <w:rPr>
          <w:rFonts w:cs="Tahoma"/>
          <w:sz w:val="26"/>
          <w:szCs w:val="26"/>
        </w:rPr>
        <w:t>kết quả phát hành cổ phiếu để tăng vốn điều lệ</w:t>
      </w:r>
      <w:r w:rsidR="00FA1620">
        <w:rPr>
          <w:rFonts w:cs="Tahoma"/>
          <w:sz w:val="26"/>
          <w:szCs w:val="26"/>
        </w:rPr>
        <w:t xml:space="preserve"> và sửa đổi Điều lệ tổ chức hoạt động của Công ty phù hợp với mức vốn điều lệ mới. Cụ thể như sau:</w:t>
      </w:r>
    </w:p>
    <w:p w14:paraId="54491C5E" w14:textId="57F3CB54" w:rsidR="00BB5790" w:rsidRPr="00D64DE7" w:rsidRDefault="00FA1620" w:rsidP="000F1294">
      <w:pPr>
        <w:numPr>
          <w:ilvl w:val="0"/>
          <w:numId w:val="3"/>
        </w:numPr>
        <w:spacing w:before="120" w:line="400" w:lineRule="exact"/>
        <w:ind w:left="426" w:hanging="426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Kết quả </w:t>
      </w:r>
      <w:r w:rsidR="001A749B">
        <w:rPr>
          <w:b/>
          <w:sz w:val="26"/>
          <w:szCs w:val="26"/>
        </w:rPr>
        <w:t>phát hành cổ phiếu tăng vốn điều lệ</w:t>
      </w:r>
    </w:p>
    <w:p w14:paraId="188C183D" w14:textId="67B44A46" w:rsidR="00FA35DD" w:rsidRPr="00996EDA" w:rsidRDefault="00FA35DD" w:rsidP="008928EC">
      <w:pPr>
        <w:pStyle w:val="ListParagraph"/>
        <w:numPr>
          <w:ilvl w:val="1"/>
          <w:numId w:val="3"/>
        </w:numPr>
        <w:spacing w:before="120" w:after="120" w:line="400" w:lineRule="exact"/>
        <w:ind w:left="1077"/>
        <w:contextualSpacing w:val="0"/>
        <w:rPr>
          <w:rFonts w:cs="Tahoma"/>
          <w:b/>
          <w:i/>
          <w:sz w:val="26"/>
          <w:szCs w:val="26"/>
        </w:rPr>
      </w:pPr>
      <w:r w:rsidRPr="00996EDA">
        <w:rPr>
          <w:rFonts w:cs="Tahoma"/>
          <w:b/>
          <w:i/>
          <w:sz w:val="26"/>
          <w:szCs w:val="26"/>
        </w:rPr>
        <w:t>Kết quả chào bán cổ phiếu cho cổ đông hiện hữu</w:t>
      </w:r>
    </w:p>
    <w:p w14:paraId="4240FAAE" w14:textId="7135A783" w:rsidR="009151E8" w:rsidRPr="00D67076" w:rsidRDefault="009151E8" w:rsidP="00683AEE">
      <w:pPr>
        <w:pStyle w:val="ListParagraph"/>
        <w:numPr>
          <w:ilvl w:val="0"/>
          <w:numId w:val="7"/>
        </w:numPr>
        <w:spacing w:before="120" w:line="300" w:lineRule="auto"/>
        <w:ind w:left="387" w:hangingChars="149" w:hanging="387"/>
        <w:contextualSpacing w:val="0"/>
        <w:rPr>
          <w:rFonts w:cs="Tahoma"/>
          <w:sz w:val="26"/>
          <w:szCs w:val="26"/>
        </w:rPr>
      </w:pPr>
      <w:r w:rsidRPr="00D67076">
        <w:rPr>
          <w:rFonts w:cs="Tahoma"/>
          <w:sz w:val="26"/>
          <w:szCs w:val="26"/>
        </w:rPr>
        <w:t>Số lượng cổ phiếu dự kiến phát hành: 9.998.187 cổ phiếu</w:t>
      </w:r>
    </w:p>
    <w:p w14:paraId="17DEA0F4" w14:textId="41113895" w:rsidR="00D67076" w:rsidRPr="00D67076" w:rsidRDefault="00D67076" w:rsidP="00683AEE">
      <w:pPr>
        <w:pStyle w:val="ListParagraph"/>
        <w:numPr>
          <w:ilvl w:val="0"/>
          <w:numId w:val="7"/>
        </w:numPr>
        <w:spacing w:before="120" w:line="300" w:lineRule="auto"/>
        <w:ind w:left="387" w:hangingChars="149" w:hanging="387"/>
        <w:contextualSpacing w:val="0"/>
        <w:rPr>
          <w:rFonts w:cs="Tahoma"/>
          <w:sz w:val="26"/>
          <w:szCs w:val="26"/>
        </w:rPr>
      </w:pPr>
      <w:r w:rsidRPr="00D67076">
        <w:rPr>
          <w:rFonts w:cs="Tahoma"/>
          <w:sz w:val="26"/>
          <w:szCs w:val="26"/>
        </w:rPr>
        <w:t>Tổng số cổ phiếu đã phân phối: 9.998.187 cổ phiếu, trong đó:</w:t>
      </w:r>
    </w:p>
    <w:p w14:paraId="51DDCFAF" w14:textId="12DA7283" w:rsidR="009151E8" w:rsidRPr="00683AEE" w:rsidRDefault="009151E8" w:rsidP="00683AEE">
      <w:pPr>
        <w:pStyle w:val="ListParagraph"/>
        <w:numPr>
          <w:ilvl w:val="0"/>
          <w:numId w:val="8"/>
        </w:numPr>
        <w:spacing w:before="120" w:line="300" w:lineRule="auto"/>
        <w:ind w:leftChars="193" w:left="850" w:hangingChars="149" w:hanging="387"/>
        <w:contextualSpacing w:val="0"/>
        <w:rPr>
          <w:rFonts w:cs="Tahoma"/>
          <w:sz w:val="26"/>
          <w:szCs w:val="26"/>
        </w:rPr>
      </w:pPr>
      <w:r w:rsidRPr="00683AEE">
        <w:rPr>
          <w:rFonts w:cs="Tahoma"/>
          <w:sz w:val="26"/>
          <w:szCs w:val="26"/>
        </w:rPr>
        <w:t>Số lượng cổ phiếu đăng ký mua: 3.931.576 cổ phiếu</w:t>
      </w:r>
    </w:p>
    <w:p w14:paraId="0A924F27" w14:textId="17A322DA" w:rsidR="00FA35DD" w:rsidRPr="00683AEE" w:rsidRDefault="00D67076" w:rsidP="00683AEE">
      <w:pPr>
        <w:pStyle w:val="ListParagraph"/>
        <w:numPr>
          <w:ilvl w:val="0"/>
          <w:numId w:val="8"/>
        </w:numPr>
        <w:spacing w:before="120" w:line="300" w:lineRule="auto"/>
        <w:ind w:leftChars="193" w:left="850" w:hangingChars="149" w:hanging="387"/>
        <w:contextualSpacing w:val="0"/>
        <w:rPr>
          <w:rFonts w:cs="Tahoma"/>
          <w:sz w:val="26"/>
          <w:szCs w:val="26"/>
        </w:rPr>
      </w:pPr>
      <w:r w:rsidRPr="00683AEE">
        <w:rPr>
          <w:rFonts w:cs="Tahoma"/>
          <w:sz w:val="26"/>
          <w:szCs w:val="26"/>
        </w:rPr>
        <w:t xml:space="preserve">Số lượng cổ phiếu </w:t>
      </w:r>
      <w:r w:rsidR="009151E8" w:rsidRPr="00683AEE">
        <w:rPr>
          <w:rFonts w:cs="Tahoma"/>
          <w:sz w:val="26"/>
          <w:szCs w:val="26"/>
        </w:rPr>
        <w:t>phân phối</w:t>
      </w:r>
      <w:r w:rsidRPr="00683AEE">
        <w:rPr>
          <w:rFonts w:cs="Tahoma"/>
          <w:sz w:val="26"/>
          <w:szCs w:val="26"/>
        </w:rPr>
        <w:t>cho các Nhà đầu tư khác</w:t>
      </w:r>
      <w:r w:rsidR="009151E8" w:rsidRPr="00683AEE">
        <w:rPr>
          <w:rFonts w:cs="Tahoma"/>
          <w:sz w:val="26"/>
          <w:szCs w:val="26"/>
        </w:rPr>
        <w:t xml:space="preserve"> do xử lý cổ phiếu lẻ và do các Nhà đầu tư không đặt mua hết: 6.066.621 cổ phiếu</w:t>
      </w:r>
    </w:p>
    <w:p w14:paraId="687CD405" w14:textId="34B5D817" w:rsidR="00D67076" w:rsidRDefault="00A375C7" w:rsidP="00996EDA">
      <w:pPr>
        <w:pStyle w:val="ListParagraph"/>
        <w:numPr>
          <w:ilvl w:val="0"/>
          <w:numId w:val="7"/>
        </w:numPr>
        <w:spacing w:before="120" w:line="300" w:lineRule="auto"/>
        <w:ind w:left="387" w:hangingChars="149" w:hanging="387"/>
        <w:contextualSpacing w:val="0"/>
        <w:rPr>
          <w:rFonts w:cs="Tahoma"/>
          <w:sz w:val="26"/>
          <w:szCs w:val="26"/>
        </w:rPr>
      </w:pPr>
      <w:r w:rsidRPr="00A375C7">
        <w:rPr>
          <w:rFonts w:cs="Tahoma"/>
          <w:sz w:val="26"/>
          <w:szCs w:val="26"/>
        </w:rPr>
        <w:t>Tổng số tiền thu từ việc bán cổ phiếu: 99.981.870.000 đồng</w:t>
      </w:r>
    </w:p>
    <w:p w14:paraId="3F2FCBFD" w14:textId="2E244ED0" w:rsidR="00A375C7" w:rsidRDefault="00996EDA" w:rsidP="00996EDA">
      <w:pPr>
        <w:pStyle w:val="ListParagraph"/>
        <w:numPr>
          <w:ilvl w:val="0"/>
          <w:numId w:val="7"/>
        </w:numPr>
        <w:spacing w:before="120" w:line="300" w:lineRule="auto"/>
        <w:ind w:left="387" w:hangingChars="149" w:hanging="387"/>
        <w:contextualSpacing w:val="0"/>
        <w:rPr>
          <w:rFonts w:cs="Tahoma"/>
          <w:sz w:val="26"/>
          <w:szCs w:val="26"/>
        </w:rPr>
      </w:pPr>
      <w:r w:rsidRPr="00996EDA">
        <w:rPr>
          <w:rFonts w:cs="Tahoma"/>
          <w:sz w:val="26"/>
          <w:szCs w:val="26"/>
        </w:rPr>
        <w:t>Tổng chi phí : 150.000.000 đồng</w:t>
      </w:r>
    </w:p>
    <w:p w14:paraId="41F045F9" w14:textId="2DB9D870" w:rsidR="00996EDA" w:rsidRPr="00FA35DD" w:rsidRDefault="00996EDA" w:rsidP="00996EDA">
      <w:pPr>
        <w:pStyle w:val="ListParagraph"/>
        <w:numPr>
          <w:ilvl w:val="0"/>
          <w:numId w:val="7"/>
        </w:numPr>
        <w:spacing w:before="120" w:line="300" w:lineRule="auto"/>
        <w:ind w:left="387" w:hangingChars="149" w:hanging="387"/>
        <w:contextualSpacing w:val="0"/>
        <w:rPr>
          <w:rFonts w:cs="Tahoma"/>
          <w:sz w:val="26"/>
          <w:szCs w:val="26"/>
        </w:rPr>
      </w:pPr>
      <w:r w:rsidRPr="00996EDA">
        <w:rPr>
          <w:rFonts w:cs="Tahoma"/>
          <w:sz w:val="26"/>
          <w:szCs w:val="26"/>
        </w:rPr>
        <w:t>Tổng thu ròng từ đợt</w:t>
      </w:r>
      <w:r>
        <w:rPr>
          <w:rFonts w:cs="Tahoma"/>
          <w:sz w:val="26"/>
          <w:szCs w:val="26"/>
        </w:rPr>
        <w:t xml:space="preserve"> chào bán: 99.831.870.000  đồng</w:t>
      </w:r>
    </w:p>
    <w:p w14:paraId="3325B30B" w14:textId="4E62B154" w:rsidR="00C953FD" w:rsidRDefault="00FA35DD" w:rsidP="008928EC">
      <w:pPr>
        <w:pStyle w:val="ListParagraph"/>
        <w:numPr>
          <w:ilvl w:val="1"/>
          <w:numId w:val="3"/>
        </w:numPr>
        <w:spacing w:before="120" w:after="120" w:line="400" w:lineRule="exact"/>
        <w:ind w:left="1077"/>
        <w:contextualSpacing w:val="0"/>
        <w:rPr>
          <w:rFonts w:cs="Tahoma"/>
          <w:b/>
          <w:i/>
          <w:sz w:val="26"/>
          <w:szCs w:val="26"/>
        </w:rPr>
      </w:pPr>
      <w:r w:rsidRPr="00996EDA">
        <w:rPr>
          <w:rFonts w:cs="Tahoma"/>
          <w:b/>
          <w:i/>
          <w:sz w:val="26"/>
          <w:szCs w:val="26"/>
        </w:rPr>
        <w:t>Kết quả phát hành cổ phiếu để tăng vốn cổ phần từ nguồn vốn chủ sở hữu</w:t>
      </w:r>
    </w:p>
    <w:p w14:paraId="4F39549C" w14:textId="3417DA6B" w:rsidR="008928EC" w:rsidRPr="008928EC" w:rsidRDefault="008928EC" w:rsidP="008928EC">
      <w:pPr>
        <w:pStyle w:val="ListParagraph"/>
        <w:numPr>
          <w:ilvl w:val="0"/>
          <w:numId w:val="7"/>
        </w:numPr>
        <w:spacing w:before="120" w:line="300" w:lineRule="auto"/>
        <w:ind w:left="387" w:hangingChars="149" w:hanging="387"/>
        <w:contextualSpacing w:val="0"/>
        <w:rPr>
          <w:rFonts w:cs="Tahoma"/>
          <w:sz w:val="26"/>
          <w:szCs w:val="26"/>
        </w:rPr>
      </w:pPr>
      <w:r w:rsidRPr="008928EC">
        <w:rPr>
          <w:rFonts w:cs="Tahoma"/>
          <w:sz w:val="26"/>
          <w:szCs w:val="26"/>
        </w:rPr>
        <w:t>Số cổ phiếu đã phân phối: 3.999.222 cổ phiếu (Bằng chữ: Ba triệu chín trăm chín mươi chín nghìn hai trăm hai mươi hai cổ phiếu)</w:t>
      </w:r>
    </w:p>
    <w:p w14:paraId="4DB11282" w14:textId="02B7D185" w:rsidR="00996EDA" w:rsidRPr="00996EDA" w:rsidRDefault="008928EC" w:rsidP="008928EC">
      <w:pPr>
        <w:pStyle w:val="ListParagraph"/>
        <w:numPr>
          <w:ilvl w:val="0"/>
          <w:numId w:val="7"/>
        </w:numPr>
        <w:spacing w:before="120" w:line="300" w:lineRule="auto"/>
        <w:ind w:left="387" w:hangingChars="149" w:hanging="387"/>
        <w:contextualSpacing w:val="0"/>
        <w:rPr>
          <w:rFonts w:cs="Tahoma"/>
          <w:sz w:val="26"/>
          <w:szCs w:val="26"/>
        </w:rPr>
      </w:pPr>
      <w:r w:rsidRPr="008928EC">
        <w:rPr>
          <w:rFonts w:cs="Tahoma"/>
          <w:sz w:val="26"/>
          <w:szCs w:val="26"/>
        </w:rPr>
        <w:t>Số cổ đông được phân phối: 676 cổ đông</w:t>
      </w:r>
    </w:p>
    <w:p w14:paraId="33498196" w14:textId="39234147" w:rsidR="00FA35DD" w:rsidRDefault="00FA35DD" w:rsidP="008928EC">
      <w:pPr>
        <w:pStyle w:val="ListParagraph"/>
        <w:numPr>
          <w:ilvl w:val="1"/>
          <w:numId w:val="3"/>
        </w:numPr>
        <w:spacing w:before="120" w:after="120" w:line="400" w:lineRule="exact"/>
        <w:ind w:left="1077"/>
        <w:contextualSpacing w:val="0"/>
        <w:rPr>
          <w:rFonts w:cs="Tahoma"/>
          <w:b/>
          <w:i/>
          <w:sz w:val="26"/>
          <w:szCs w:val="26"/>
        </w:rPr>
      </w:pPr>
      <w:r w:rsidRPr="008928EC">
        <w:rPr>
          <w:rFonts w:cs="Tahoma"/>
          <w:b/>
          <w:i/>
          <w:sz w:val="26"/>
          <w:szCs w:val="26"/>
        </w:rPr>
        <w:t>Kết quả phát hành cổ phiếu theo chương trình lựa chọn cho người lao động trong Công ty</w:t>
      </w:r>
    </w:p>
    <w:p w14:paraId="42360B8F" w14:textId="02249F72" w:rsidR="00EA6C05" w:rsidRDefault="003D108D" w:rsidP="003D108D">
      <w:pPr>
        <w:pStyle w:val="ListParagraph"/>
        <w:numPr>
          <w:ilvl w:val="0"/>
          <w:numId w:val="7"/>
        </w:numPr>
        <w:spacing w:before="120" w:line="300" w:lineRule="auto"/>
        <w:ind w:left="387" w:hangingChars="149" w:hanging="387"/>
        <w:contextualSpacing w:val="0"/>
        <w:rPr>
          <w:rFonts w:cs="Tahoma"/>
          <w:sz w:val="26"/>
          <w:szCs w:val="26"/>
        </w:rPr>
      </w:pPr>
      <w:r w:rsidRPr="003D108D">
        <w:rPr>
          <w:rFonts w:cs="Tahoma"/>
          <w:sz w:val="26"/>
          <w:szCs w:val="26"/>
        </w:rPr>
        <w:t>Số cổ phiếu đã phân phối: 600.000 cổ phiếu</w:t>
      </w:r>
    </w:p>
    <w:p w14:paraId="3BA066D0" w14:textId="308E0635" w:rsidR="003D108D" w:rsidRDefault="003D108D" w:rsidP="003D108D">
      <w:pPr>
        <w:pStyle w:val="ListParagraph"/>
        <w:numPr>
          <w:ilvl w:val="0"/>
          <w:numId w:val="7"/>
        </w:numPr>
        <w:spacing w:before="120" w:line="300" w:lineRule="auto"/>
        <w:ind w:left="387" w:hangingChars="149" w:hanging="387"/>
        <w:contextualSpacing w:val="0"/>
        <w:rPr>
          <w:rFonts w:cs="Tahoma"/>
          <w:sz w:val="26"/>
          <w:szCs w:val="26"/>
        </w:rPr>
      </w:pPr>
      <w:r w:rsidRPr="003D108D">
        <w:rPr>
          <w:rFonts w:cs="Tahoma"/>
          <w:sz w:val="26"/>
          <w:szCs w:val="26"/>
        </w:rPr>
        <w:t>Số người lao động được phân phối: 91 người lao động</w:t>
      </w:r>
    </w:p>
    <w:p w14:paraId="34069B5C" w14:textId="5100E5FB" w:rsidR="00E368C1" w:rsidRPr="00E368C1" w:rsidRDefault="003D108D" w:rsidP="00E368C1">
      <w:pPr>
        <w:pStyle w:val="ListParagraph"/>
        <w:numPr>
          <w:ilvl w:val="1"/>
          <w:numId w:val="3"/>
        </w:numPr>
        <w:spacing w:before="120" w:after="120" w:line="400" w:lineRule="exact"/>
        <w:ind w:left="1077"/>
        <w:contextualSpacing w:val="0"/>
        <w:rPr>
          <w:rFonts w:cs="Tahoma"/>
          <w:b/>
          <w:i/>
          <w:sz w:val="26"/>
          <w:szCs w:val="26"/>
        </w:rPr>
      </w:pPr>
      <w:r w:rsidRPr="003D108D">
        <w:rPr>
          <w:rFonts w:cs="Tahoma"/>
          <w:b/>
          <w:i/>
          <w:sz w:val="26"/>
          <w:szCs w:val="26"/>
        </w:rPr>
        <w:lastRenderedPageBreak/>
        <w:t>Số lượng cổ phiếu sau đợt phát hành</w:t>
      </w:r>
      <w:r w:rsidR="00E368C1">
        <w:rPr>
          <w:rFonts w:cs="Tahoma"/>
          <w:b/>
          <w:i/>
          <w:sz w:val="26"/>
          <w:szCs w:val="26"/>
        </w:rPr>
        <w:t xml:space="preserve">: </w:t>
      </w:r>
      <w:r w:rsidR="00E368C1" w:rsidRPr="00E368C1">
        <w:rPr>
          <w:rFonts w:cs="Tahoma"/>
          <w:sz w:val="26"/>
          <w:szCs w:val="26"/>
        </w:rPr>
        <w:t>34.596.684 cổ phiếu, trong đó:</w:t>
      </w:r>
    </w:p>
    <w:p w14:paraId="7C82E778" w14:textId="5C88FBE2" w:rsidR="00E368C1" w:rsidRPr="00E368C1" w:rsidRDefault="00E368C1" w:rsidP="00E368C1">
      <w:pPr>
        <w:pStyle w:val="ListParagraph"/>
        <w:numPr>
          <w:ilvl w:val="0"/>
          <w:numId w:val="7"/>
        </w:numPr>
        <w:spacing w:before="120" w:line="300" w:lineRule="auto"/>
        <w:ind w:left="387" w:hangingChars="149" w:hanging="387"/>
        <w:contextualSpacing w:val="0"/>
        <w:rPr>
          <w:rFonts w:cs="Tahoma"/>
          <w:sz w:val="26"/>
          <w:szCs w:val="26"/>
        </w:rPr>
      </w:pPr>
      <w:r w:rsidRPr="00E368C1">
        <w:rPr>
          <w:rFonts w:cs="Tahoma"/>
          <w:sz w:val="26"/>
          <w:szCs w:val="26"/>
        </w:rPr>
        <w:t>Số lượng cổ phiếu đang lưu hành: 34.593.784 cổ phiếu</w:t>
      </w:r>
    </w:p>
    <w:p w14:paraId="0F5F7288" w14:textId="413CE5F0" w:rsidR="003D108D" w:rsidRPr="00E368C1" w:rsidRDefault="00E368C1" w:rsidP="00E368C1">
      <w:pPr>
        <w:pStyle w:val="ListParagraph"/>
        <w:numPr>
          <w:ilvl w:val="0"/>
          <w:numId w:val="7"/>
        </w:numPr>
        <w:spacing w:before="120" w:line="300" w:lineRule="auto"/>
        <w:ind w:left="387" w:hangingChars="149" w:hanging="387"/>
        <w:contextualSpacing w:val="0"/>
        <w:rPr>
          <w:rFonts w:cs="Tahoma"/>
          <w:sz w:val="26"/>
          <w:szCs w:val="26"/>
        </w:rPr>
      </w:pPr>
      <w:r w:rsidRPr="00E368C1">
        <w:rPr>
          <w:rFonts w:cs="Tahoma"/>
          <w:sz w:val="26"/>
          <w:szCs w:val="26"/>
        </w:rPr>
        <w:t>Số lượng cổ phiếu quỹ: 2.900 cổ phiếu</w:t>
      </w:r>
    </w:p>
    <w:p w14:paraId="6825F610" w14:textId="70B428B1" w:rsidR="00BC526F" w:rsidRPr="00D64DE7" w:rsidRDefault="00A52F39" w:rsidP="006A6081">
      <w:pPr>
        <w:numPr>
          <w:ilvl w:val="0"/>
          <w:numId w:val="3"/>
        </w:numPr>
        <w:spacing w:before="120" w:line="400" w:lineRule="exact"/>
        <w:ind w:left="426" w:hanging="426"/>
        <w:jc w:val="both"/>
        <w:rPr>
          <w:b/>
          <w:sz w:val="26"/>
          <w:szCs w:val="26"/>
          <w:lang w:val="vi-VN"/>
        </w:rPr>
      </w:pPr>
      <w:r>
        <w:rPr>
          <w:rFonts w:cs="Tahoma"/>
          <w:b/>
          <w:sz w:val="26"/>
          <w:szCs w:val="26"/>
        </w:rPr>
        <w:t>Sửa đổi Điều lệ của Công ty</w:t>
      </w:r>
    </w:p>
    <w:p w14:paraId="1617A71D" w14:textId="30611666" w:rsidR="00D64DE7" w:rsidRDefault="00B85285" w:rsidP="001A749B">
      <w:pPr>
        <w:spacing w:before="120" w:line="400" w:lineRule="exact"/>
        <w:jc w:val="both"/>
        <w:rPr>
          <w:sz w:val="26"/>
          <w:szCs w:val="26"/>
        </w:rPr>
      </w:pPr>
      <w:r>
        <w:rPr>
          <w:sz w:val="26"/>
          <w:szCs w:val="26"/>
        </w:rPr>
        <w:t>Kính trính Đại hội đồng cổ đông t</w:t>
      </w:r>
      <w:r w:rsidR="00A52F39" w:rsidRPr="00A52F39">
        <w:rPr>
          <w:sz w:val="26"/>
          <w:szCs w:val="26"/>
          <w:lang w:val="vi-VN"/>
        </w:rPr>
        <w:t>hông qua việc sửa đổi Điều lệ tổ chức hoạt động của Công ty phù hợp với Vốn điều lệ mới sau phát hành như sau: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3677"/>
        <w:gridCol w:w="3501"/>
      </w:tblGrid>
      <w:tr w:rsidR="007331B3" w:rsidRPr="007331B3" w14:paraId="67D14BDF" w14:textId="77777777" w:rsidTr="00FF5964">
        <w:trPr>
          <w:jc w:val="center"/>
        </w:trPr>
        <w:tc>
          <w:tcPr>
            <w:tcW w:w="2568" w:type="dxa"/>
            <w:shd w:val="clear" w:color="auto" w:fill="auto"/>
          </w:tcPr>
          <w:p w14:paraId="5DDF4414" w14:textId="77777777" w:rsidR="007331B3" w:rsidRPr="007331B3" w:rsidRDefault="007331B3" w:rsidP="00A2499E">
            <w:pPr>
              <w:tabs>
                <w:tab w:val="left" w:pos="1080"/>
              </w:tabs>
              <w:spacing w:before="120" w:after="120" w:line="312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7331B3">
              <w:rPr>
                <w:b/>
                <w:bCs/>
                <w:sz w:val="26"/>
                <w:szCs w:val="26"/>
                <w:lang w:val="fr-FR"/>
              </w:rPr>
              <w:t>Mục</w:t>
            </w:r>
          </w:p>
        </w:tc>
        <w:tc>
          <w:tcPr>
            <w:tcW w:w="3677" w:type="dxa"/>
            <w:shd w:val="clear" w:color="auto" w:fill="auto"/>
          </w:tcPr>
          <w:p w14:paraId="594392B9" w14:textId="77777777" w:rsidR="007331B3" w:rsidRPr="007331B3" w:rsidRDefault="007331B3" w:rsidP="00A2499E">
            <w:pPr>
              <w:tabs>
                <w:tab w:val="left" w:pos="1080"/>
              </w:tabs>
              <w:spacing w:before="120" w:after="120" w:line="312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7331B3">
              <w:rPr>
                <w:b/>
                <w:bCs/>
                <w:sz w:val="26"/>
                <w:szCs w:val="26"/>
                <w:lang w:val="fr-FR"/>
              </w:rPr>
              <w:t>Điều lệ cũ</w:t>
            </w:r>
          </w:p>
        </w:tc>
        <w:tc>
          <w:tcPr>
            <w:tcW w:w="3501" w:type="dxa"/>
            <w:shd w:val="clear" w:color="auto" w:fill="auto"/>
          </w:tcPr>
          <w:p w14:paraId="1060ACC9" w14:textId="77777777" w:rsidR="007331B3" w:rsidRPr="007331B3" w:rsidRDefault="007331B3" w:rsidP="00A2499E">
            <w:pPr>
              <w:tabs>
                <w:tab w:val="left" w:pos="1080"/>
              </w:tabs>
              <w:spacing w:before="120" w:after="120" w:line="312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7331B3">
              <w:rPr>
                <w:b/>
                <w:bCs/>
                <w:sz w:val="26"/>
                <w:szCs w:val="26"/>
                <w:lang w:val="fr-FR"/>
              </w:rPr>
              <w:t>Điều lệ mới</w:t>
            </w:r>
          </w:p>
        </w:tc>
      </w:tr>
      <w:tr w:rsidR="007331B3" w:rsidRPr="007331B3" w14:paraId="282D0B78" w14:textId="77777777" w:rsidTr="00FF5964">
        <w:trPr>
          <w:jc w:val="center"/>
        </w:trPr>
        <w:tc>
          <w:tcPr>
            <w:tcW w:w="2568" w:type="dxa"/>
            <w:vMerge w:val="restart"/>
            <w:shd w:val="clear" w:color="auto" w:fill="auto"/>
          </w:tcPr>
          <w:p w14:paraId="63589455" w14:textId="77777777" w:rsidR="007331B3" w:rsidRPr="007331B3" w:rsidRDefault="007331B3" w:rsidP="00A2499E">
            <w:pPr>
              <w:tabs>
                <w:tab w:val="left" w:pos="1080"/>
              </w:tabs>
              <w:spacing w:before="120" w:after="120" w:line="312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7331B3">
              <w:rPr>
                <w:bCs/>
                <w:sz w:val="26"/>
                <w:szCs w:val="26"/>
                <w:lang w:val="fr-FR"/>
              </w:rPr>
              <w:t>Chương IV, Điều 5</w:t>
            </w:r>
          </w:p>
        </w:tc>
        <w:tc>
          <w:tcPr>
            <w:tcW w:w="3677" w:type="dxa"/>
            <w:shd w:val="clear" w:color="auto" w:fill="auto"/>
          </w:tcPr>
          <w:p w14:paraId="583F776A" w14:textId="77777777" w:rsidR="007331B3" w:rsidRPr="007331B3" w:rsidRDefault="007331B3" w:rsidP="00A2499E">
            <w:pPr>
              <w:tabs>
                <w:tab w:val="left" w:pos="1080"/>
              </w:tabs>
              <w:spacing w:before="120" w:after="120" w:line="312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7331B3">
              <w:rPr>
                <w:bCs/>
                <w:sz w:val="26"/>
                <w:szCs w:val="26"/>
                <w:lang w:val="fr-FR"/>
              </w:rPr>
              <w:t>1. Vốn điều lệ của Công ty là 199.992.750.000 đồng (</w:t>
            </w:r>
            <w:r w:rsidRPr="007331B3">
              <w:rPr>
                <w:bCs/>
                <w:i/>
                <w:sz w:val="26"/>
                <w:szCs w:val="26"/>
                <w:lang w:val="fr-FR"/>
              </w:rPr>
              <w:t>Bằng chữ: Một trăm chín mươi chín tỷ chín trăm chín mươi hai triệu bảy trăm năm mươi ngàn đồng chẵn</w:t>
            </w:r>
            <w:r w:rsidRPr="007331B3">
              <w:rPr>
                <w:bCs/>
                <w:sz w:val="26"/>
                <w:szCs w:val="26"/>
                <w:lang w:val="fr-FR"/>
              </w:rPr>
              <w:t>)</w:t>
            </w:r>
          </w:p>
        </w:tc>
        <w:tc>
          <w:tcPr>
            <w:tcW w:w="3501" w:type="dxa"/>
            <w:shd w:val="clear" w:color="auto" w:fill="auto"/>
          </w:tcPr>
          <w:p w14:paraId="15D504FD" w14:textId="641DE4BD" w:rsidR="007331B3" w:rsidRPr="007331B3" w:rsidRDefault="007331B3" w:rsidP="00054724">
            <w:pPr>
              <w:tabs>
                <w:tab w:val="left" w:pos="1080"/>
              </w:tabs>
              <w:spacing w:before="120" w:after="120" w:line="312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7331B3">
              <w:rPr>
                <w:bCs/>
                <w:sz w:val="26"/>
                <w:szCs w:val="26"/>
                <w:lang w:val="fr-FR"/>
              </w:rPr>
              <w:t xml:space="preserve">1. Vốn điều lệ của Công ty là </w:t>
            </w:r>
            <w:r w:rsidRPr="00054724">
              <w:rPr>
                <w:bCs/>
                <w:sz w:val="26"/>
                <w:szCs w:val="26"/>
                <w:lang w:val="fr-FR"/>
              </w:rPr>
              <w:t xml:space="preserve">345.966.840.000 đồng (Bằng chữ: </w:t>
            </w:r>
            <w:r w:rsidR="00054724" w:rsidRPr="00054724">
              <w:rPr>
                <w:bCs/>
                <w:sz w:val="26"/>
                <w:szCs w:val="26"/>
                <w:lang w:val="fr-FR"/>
              </w:rPr>
              <w:t xml:space="preserve">Ba trăm bốn mươi lăm tỷ chín trăm sáu mươi sáu triệu tám trăm bốn mươi nghìn </w:t>
            </w:r>
            <w:r w:rsidRPr="00054724">
              <w:rPr>
                <w:bCs/>
                <w:sz w:val="26"/>
                <w:szCs w:val="26"/>
                <w:lang w:val="fr-FR"/>
              </w:rPr>
              <w:t>đồng)</w:t>
            </w:r>
          </w:p>
        </w:tc>
      </w:tr>
      <w:tr w:rsidR="007331B3" w:rsidRPr="007331B3" w14:paraId="295BDF60" w14:textId="77777777" w:rsidTr="00FF5964">
        <w:trPr>
          <w:jc w:val="center"/>
        </w:trPr>
        <w:tc>
          <w:tcPr>
            <w:tcW w:w="2568" w:type="dxa"/>
            <w:vMerge/>
            <w:shd w:val="clear" w:color="auto" w:fill="auto"/>
          </w:tcPr>
          <w:p w14:paraId="631DBEDA" w14:textId="77777777" w:rsidR="007331B3" w:rsidRPr="007331B3" w:rsidRDefault="007331B3" w:rsidP="00A2499E">
            <w:pPr>
              <w:tabs>
                <w:tab w:val="left" w:pos="1080"/>
              </w:tabs>
              <w:spacing w:before="120" w:after="120" w:line="312" w:lineRule="auto"/>
              <w:jc w:val="both"/>
              <w:rPr>
                <w:bCs/>
                <w:sz w:val="26"/>
                <w:szCs w:val="26"/>
                <w:lang w:val="fr-FR"/>
              </w:rPr>
            </w:pPr>
          </w:p>
        </w:tc>
        <w:tc>
          <w:tcPr>
            <w:tcW w:w="3677" w:type="dxa"/>
            <w:shd w:val="clear" w:color="auto" w:fill="auto"/>
          </w:tcPr>
          <w:p w14:paraId="072F9D3F" w14:textId="77777777" w:rsidR="007331B3" w:rsidRPr="007331B3" w:rsidRDefault="007331B3" w:rsidP="00A2499E">
            <w:pPr>
              <w:tabs>
                <w:tab w:val="left" w:pos="1080"/>
              </w:tabs>
              <w:spacing w:before="120" w:after="120" w:line="312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7331B3">
              <w:rPr>
                <w:bCs/>
                <w:sz w:val="26"/>
                <w:szCs w:val="26"/>
                <w:lang w:val="fr-FR"/>
              </w:rPr>
              <w:t>Tổng số vốn điều lệ của Công ty được chia thành 19.999.275 cổ phần với mệnh giá là 10.000 đồng/cổ phần</w:t>
            </w:r>
          </w:p>
        </w:tc>
        <w:tc>
          <w:tcPr>
            <w:tcW w:w="3501" w:type="dxa"/>
            <w:shd w:val="clear" w:color="auto" w:fill="auto"/>
          </w:tcPr>
          <w:p w14:paraId="48B02A84" w14:textId="63CE31FE" w:rsidR="007331B3" w:rsidRPr="007331B3" w:rsidRDefault="007331B3" w:rsidP="00054724">
            <w:pPr>
              <w:tabs>
                <w:tab w:val="left" w:pos="1080"/>
              </w:tabs>
              <w:spacing w:before="120" w:after="120" w:line="312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7331B3">
              <w:rPr>
                <w:bCs/>
                <w:sz w:val="26"/>
                <w:szCs w:val="26"/>
                <w:lang w:val="fr-FR"/>
              </w:rPr>
              <w:t xml:space="preserve">Tổng số vốn điều lệ của Công ty được chia thành </w:t>
            </w:r>
            <w:r w:rsidR="00054724">
              <w:rPr>
                <w:bCs/>
                <w:sz w:val="26"/>
                <w:szCs w:val="26"/>
                <w:lang w:val="fr-FR"/>
              </w:rPr>
              <w:t>34.596.684</w:t>
            </w:r>
            <w:r w:rsidRPr="007331B3">
              <w:rPr>
                <w:bCs/>
                <w:sz w:val="26"/>
                <w:szCs w:val="26"/>
                <w:lang w:val="fr-FR"/>
              </w:rPr>
              <w:t xml:space="preserve"> cổ phần với mệnh giá là 10.000 đồng/cổ phần</w:t>
            </w:r>
          </w:p>
        </w:tc>
      </w:tr>
    </w:tbl>
    <w:p w14:paraId="0A454909" w14:textId="293868E1" w:rsidR="00473DEF" w:rsidRPr="00473DEF" w:rsidRDefault="00473DEF" w:rsidP="00FF5964">
      <w:pPr>
        <w:spacing w:before="120" w:after="120"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Ủy quyền cho Chủ tịch Hội đồng quản trị ký </w:t>
      </w:r>
      <w:r w:rsidR="00E43F0D">
        <w:rPr>
          <w:sz w:val="26"/>
          <w:szCs w:val="26"/>
        </w:rPr>
        <w:t>ban hành Điều lệ mới sửa đổi bổ sung Điều lệ tổ chức hoạt động năm 2016 sau khi Tờ trình này được thông qua</w:t>
      </w:r>
    </w:p>
    <w:p w14:paraId="7D8DE262" w14:textId="77777777" w:rsidR="00FF5964" w:rsidRPr="00E63439" w:rsidRDefault="00FF5964" w:rsidP="00FF5964">
      <w:pPr>
        <w:spacing w:before="120" w:after="120" w:line="340" w:lineRule="exact"/>
        <w:jc w:val="both"/>
        <w:rPr>
          <w:b/>
          <w:i/>
          <w:sz w:val="26"/>
          <w:szCs w:val="26"/>
          <w:lang w:val="vi-VN"/>
        </w:rPr>
      </w:pPr>
      <w:r w:rsidRPr="00E63439">
        <w:rPr>
          <w:b/>
          <w:i/>
          <w:sz w:val="26"/>
          <w:szCs w:val="26"/>
          <w:lang w:val="vi-VN"/>
        </w:rPr>
        <w:t>Kính trình ĐHĐCĐ thường niên năm 201</w:t>
      </w:r>
      <w:r>
        <w:rPr>
          <w:b/>
          <w:i/>
          <w:sz w:val="26"/>
          <w:szCs w:val="26"/>
          <w:lang w:val="vi-VN"/>
        </w:rPr>
        <w:t>7</w:t>
      </w:r>
      <w:r w:rsidRPr="00E63439">
        <w:rPr>
          <w:b/>
          <w:i/>
          <w:sz w:val="26"/>
          <w:szCs w:val="26"/>
          <w:lang w:val="vi-VN"/>
        </w:rPr>
        <w:t xml:space="preserve"> thông qua. </w:t>
      </w:r>
    </w:p>
    <w:p w14:paraId="449E63FB" w14:textId="7860C1E6" w:rsidR="00BB5790" w:rsidRPr="00054724" w:rsidRDefault="00BB5790" w:rsidP="00BB5790">
      <w:pPr>
        <w:spacing w:before="120" w:after="120" w:line="340" w:lineRule="exact"/>
        <w:jc w:val="both"/>
        <w:rPr>
          <w:b/>
          <w:i/>
          <w:sz w:val="26"/>
          <w:szCs w:val="26"/>
        </w:rPr>
      </w:pPr>
    </w:p>
    <w:tbl>
      <w:tblPr>
        <w:tblW w:w="9498" w:type="dxa"/>
        <w:tblInd w:w="-3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48"/>
        <w:gridCol w:w="5750"/>
      </w:tblGrid>
      <w:tr w:rsidR="00BB5790" w:rsidRPr="00B915D9" w14:paraId="2E4EF141" w14:textId="77777777" w:rsidTr="001A749B">
        <w:tc>
          <w:tcPr>
            <w:tcW w:w="3748" w:type="dxa"/>
          </w:tcPr>
          <w:p w14:paraId="25CA9600" w14:textId="77777777" w:rsidR="00BB5790" w:rsidRPr="005F125F" w:rsidRDefault="00BB5790" w:rsidP="00CC0DA7">
            <w:pPr>
              <w:pStyle w:val="BodyText2"/>
              <w:spacing w:line="360" w:lineRule="exact"/>
              <w:rPr>
                <w:rFonts w:cs="Tahoma"/>
                <w:b/>
                <w:i/>
                <w:sz w:val="26"/>
                <w:szCs w:val="26"/>
                <w:lang w:val="nl-NL"/>
              </w:rPr>
            </w:pPr>
            <w:r w:rsidRPr="005F125F">
              <w:rPr>
                <w:rFonts w:cs="Tahoma"/>
                <w:b/>
                <w:i/>
                <w:sz w:val="26"/>
                <w:szCs w:val="26"/>
                <w:lang w:val="nl-NL"/>
              </w:rPr>
              <w:t>Nơi nhận:</w:t>
            </w:r>
          </w:p>
          <w:p w14:paraId="67E94E79" w14:textId="3715E015" w:rsidR="00BB5790" w:rsidRDefault="00BB5790" w:rsidP="00BB5790">
            <w:pPr>
              <w:numPr>
                <w:ilvl w:val="0"/>
                <w:numId w:val="1"/>
              </w:numPr>
              <w:jc w:val="both"/>
              <w:rPr>
                <w:rFonts w:cs="Tahoma"/>
                <w:bCs/>
                <w:iCs/>
                <w:sz w:val="26"/>
                <w:szCs w:val="26"/>
                <w:lang w:val="nl-NL"/>
              </w:rPr>
            </w:pPr>
            <w:r w:rsidRPr="005F125F">
              <w:rPr>
                <w:rFonts w:cs="Tahoma"/>
                <w:bCs/>
                <w:iCs/>
                <w:sz w:val="26"/>
                <w:szCs w:val="26"/>
                <w:lang w:val="nl-NL"/>
              </w:rPr>
              <w:t>ĐHĐCĐ thường niên 201</w:t>
            </w:r>
            <w:r w:rsidR="00983DE4">
              <w:rPr>
                <w:rFonts w:cs="Tahoma"/>
                <w:bCs/>
                <w:iCs/>
                <w:sz w:val="26"/>
                <w:szCs w:val="26"/>
                <w:lang w:val="nl-NL"/>
              </w:rPr>
              <w:t>7</w:t>
            </w:r>
            <w:r w:rsidRPr="005F125F">
              <w:rPr>
                <w:rFonts w:cs="Tahoma"/>
                <w:bCs/>
                <w:iCs/>
                <w:sz w:val="26"/>
                <w:szCs w:val="26"/>
                <w:lang w:val="nl-NL"/>
              </w:rPr>
              <w:t>;</w:t>
            </w:r>
          </w:p>
          <w:p w14:paraId="7C7454F1" w14:textId="77777777" w:rsidR="00BB5790" w:rsidRPr="005F125F" w:rsidRDefault="00BB5790" w:rsidP="00BB5790">
            <w:pPr>
              <w:numPr>
                <w:ilvl w:val="0"/>
                <w:numId w:val="1"/>
              </w:numPr>
              <w:jc w:val="both"/>
              <w:rPr>
                <w:rFonts w:cs="Tahoma"/>
                <w:bCs/>
                <w:iCs/>
                <w:sz w:val="26"/>
                <w:szCs w:val="26"/>
                <w:lang w:val="nl-NL"/>
              </w:rPr>
            </w:pPr>
            <w:r>
              <w:rPr>
                <w:rFonts w:cs="Tahoma"/>
                <w:bCs/>
                <w:iCs/>
                <w:sz w:val="26"/>
                <w:szCs w:val="26"/>
                <w:lang w:val="nl-NL"/>
              </w:rPr>
              <w:t>Thành viên HĐQT;</w:t>
            </w:r>
          </w:p>
          <w:p w14:paraId="15EB8B5A" w14:textId="77777777" w:rsidR="00BB5790" w:rsidRPr="005F125F" w:rsidRDefault="00BB5790" w:rsidP="00BB5790">
            <w:pPr>
              <w:numPr>
                <w:ilvl w:val="0"/>
                <w:numId w:val="1"/>
              </w:numPr>
              <w:jc w:val="both"/>
              <w:rPr>
                <w:rFonts w:cs="Tahoma"/>
                <w:bCs/>
                <w:i/>
                <w:sz w:val="26"/>
                <w:szCs w:val="26"/>
                <w:lang w:val="nl-NL"/>
              </w:rPr>
            </w:pPr>
            <w:r w:rsidRPr="005F125F">
              <w:rPr>
                <w:rFonts w:cs="Tahoma"/>
                <w:bCs/>
                <w:iCs/>
                <w:sz w:val="26"/>
                <w:szCs w:val="26"/>
                <w:lang w:val="nl-NL"/>
              </w:rPr>
              <w:t>Lưu VPCty.</w:t>
            </w:r>
          </w:p>
        </w:tc>
        <w:tc>
          <w:tcPr>
            <w:tcW w:w="5750" w:type="dxa"/>
          </w:tcPr>
          <w:p w14:paraId="084DC175" w14:textId="77777777" w:rsidR="00BB5790" w:rsidRPr="005F125F" w:rsidRDefault="00BB5790" w:rsidP="00CC0DA7">
            <w:pPr>
              <w:pStyle w:val="Heading6"/>
              <w:spacing w:before="0" w:line="360" w:lineRule="exact"/>
              <w:jc w:val="center"/>
              <w:rPr>
                <w:rFonts w:cs="Tahoma"/>
                <w:iCs/>
                <w:sz w:val="26"/>
                <w:szCs w:val="26"/>
                <w:lang w:val="nl-NL"/>
              </w:rPr>
            </w:pPr>
            <w:r w:rsidRPr="005F125F">
              <w:rPr>
                <w:rFonts w:cs="Tahoma"/>
                <w:iCs/>
                <w:sz w:val="26"/>
                <w:szCs w:val="26"/>
                <w:lang w:val="nl-NL"/>
              </w:rPr>
              <w:t>TM. HỘI ĐỒNG QUẢN TRỊ</w:t>
            </w:r>
          </w:p>
          <w:p w14:paraId="2A035D1A" w14:textId="77777777" w:rsidR="00BB5790" w:rsidRPr="005F125F" w:rsidRDefault="00BB5790" w:rsidP="00CC0DA7">
            <w:pPr>
              <w:jc w:val="center"/>
              <w:rPr>
                <w:rFonts w:cs="Tahoma"/>
                <w:b/>
                <w:sz w:val="26"/>
                <w:szCs w:val="26"/>
                <w:lang w:val="nl-NL"/>
              </w:rPr>
            </w:pPr>
            <w:r w:rsidRPr="005F125F">
              <w:rPr>
                <w:rFonts w:cs="Tahoma"/>
                <w:b/>
                <w:sz w:val="26"/>
                <w:szCs w:val="26"/>
                <w:lang w:val="nl-NL"/>
              </w:rPr>
              <w:t>CHỦ TỊCH</w:t>
            </w:r>
          </w:p>
          <w:p w14:paraId="5E177FBE" w14:textId="77777777" w:rsidR="00BB5790" w:rsidRDefault="00BB5790" w:rsidP="00CC0DA7">
            <w:pPr>
              <w:jc w:val="center"/>
              <w:rPr>
                <w:rFonts w:cs="Tahoma"/>
                <w:b/>
                <w:sz w:val="26"/>
                <w:szCs w:val="26"/>
                <w:lang w:val="nl-NL"/>
              </w:rPr>
            </w:pPr>
          </w:p>
          <w:p w14:paraId="468C78EF" w14:textId="565A5279" w:rsidR="00BB5790" w:rsidRDefault="001C423F" w:rsidP="00CC0DA7">
            <w:pPr>
              <w:jc w:val="center"/>
              <w:rPr>
                <w:rFonts w:cs="Tahoma"/>
                <w:b/>
                <w:sz w:val="26"/>
                <w:szCs w:val="26"/>
                <w:lang w:val="nl-NL"/>
              </w:rPr>
            </w:pPr>
            <w:r>
              <w:rPr>
                <w:rFonts w:cs="Tahoma"/>
                <w:b/>
                <w:sz w:val="26"/>
                <w:szCs w:val="26"/>
                <w:lang w:val="nl-NL"/>
              </w:rPr>
              <w:t>(Đã ký)</w:t>
            </w:r>
            <w:bookmarkStart w:id="0" w:name="_GoBack"/>
            <w:bookmarkEnd w:id="0"/>
          </w:p>
          <w:p w14:paraId="3EADCE89" w14:textId="77777777" w:rsidR="00647636" w:rsidRDefault="00647636" w:rsidP="00CC0DA7">
            <w:pPr>
              <w:jc w:val="center"/>
              <w:rPr>
                <w:rFonts w:cs="Tahoma"/>
                <w:b/>
                <w:sz w:val="26"/>
                <w:szCs w:val="26"/>
                <w:lang w:val="nl-NL"/>
              </w:rPr>
            </w:pPr>
          </w:p>
          <w:p w14:paraId="53CA5048" w14:textId="77777777" w:rsidR="007655BD" w:rsidRDefault="007655BD" w:rsidP="00CC0DA7">
            <w:pPr>
              <w:jc w:val="center"/>
              <w:rPr>
                <w:rFonts w:cs="Tahoma"/>
                <w:b/>
                <w:sz w:val="26"/>
                <w:szCs w:val="26"/>
                <w:lang w:val="nl-NL"/>
              </w:rPr>
            </w:pPr>
          </w:p>
          <w:p w14:paraId="574B35E9" w14:textId="77777777" w:rsidR="00BB5790" w:rsidRPr="005F125F" w:rsidRDefault="00BB5790" w:rsidP="00CC0DA7">
            <w:pPr>
              <w:jc w:val="both"/>
              <w:rPr>
                <w:rFonts w:cs="Tahoma"/>
                <w:b/>
                <w:sz w:val="26"/>
                <w:szCs w:val="26"/>
                <w:lang w:val="nl-NL"/>
              </w:rPr>
            </w:pPr>
          </w:p>
          <w:p w14:paraId="7B60093A" w14:textId="77777777" w:rsidR="00BB5790" w:rsidRPr="005F125F" w:rsidRDefault="00BB5790" w:rsidP="00CC0DA7">
            <w:pPr>
              <w:jc w:val="center"/>
              <w:rPr>
                <w:rFonts w:cs="Tahoma"/>
                <w:b/>
                <w:sz w:val="26"/>
                <w:szCs w:val="26"/>
                <w:lang w:val="nl-NL"/>
              </w:rPr>
            </w:pPr>
            <w:r w:rsidRPr="005F125F">
              <w:rPr>
                <w:rFonts w:cs="Tahoma"/>
                <w:b/>
                <w:sz w:val="26"/>
                <w:szCs w:val="26"/>
                <w:lang w:val="nl-NL"/>
              </w:rPr>
              <w:t>LÊ HÀ GIANG</w:t>
            </w:r>
          </w:p>
        </w:tc>
      </w:tr>
    </w:tbl>
    <w:p w14:paraId="53CDDBC1" w14:textId="77777777" w:rsidR="00BB5790" w:rsidRDefault="00BB5790" w:rsidP="00BB5790">
      <w:pPr>
        <w:spacing w:line="320" w:lineRule="exact"/>
        <w:rPr>
          <w:i/>
          <w:iCs/>
          <w:sz w:val="26"/>
          <w:szCs w:val="26"/>
          <w:lang w:val="nl-NL"/>
        </w:rPr>
      </w:pPr>
    </w:p>
    <w:p w14:paraId="1B745B19" w14:textId="77777777" w:rsidR="00BB5790" w:rsidRDefault="00BB5790" w:rsidP="00BB5790">
      <w:pPr>
        <w:spacing w:line="320" w:lineRule="exact"/>
        <w:rPr>
          <w:i/>
          <w:iCs/>
          <w:sz w:val="26"/>
          <w:szCs w:val="26"/>
          <w:lang w:val="nl-NL"/>
        </w:rPr>
      </w:pPr>
    </w:p>
    <w:p w14:paraId="59D79BB5" w14:textId="77777777" w:rsidR="00BB5790" w:rsidRDefault="00BB5790" w:rsidP="00BB5790">
      <w:pPr>
        <w:spacing w:line="320" w:lineRule="exact"/>
        <w:rPr>
          <w:i/>
          <w:iCs/>
          <w:sz w:val="26"/>
          <w:szCs w:val="26"/>
          <w:lang w:val="nl-NL"/>
        </w:rPr>
      </w:pPr>
    </w:p>
    <w:p w14:paraId="3F7D4F7D" w14:textId="77777777" w:rsidR="00BB5790" w:rsidRDefault="00BB5790" w:rsidP="00BB5790">
      <w:pPr>
        <w:spacing w:line="320" w:lineRule="exact"/>
        <w:rPr>
          <w:i/>
          <w:iCs/>
          <w:sz w:val="26"/>
          <w:szCs w:val="26"/>
          <w:lang w:val="nl-NL"/>
        </w:rPr>
      </w:pPr>
    </w:p>
    <w:p w14:paraId="455F34FE" w14:textId="77777777" w:rsidR="00BB5790" w:rsidRDefault="00BB5790" w:rsidP="00BB5790">
      <w:pPr>
        <w:spacing w:line="320" w:lineRule="exact"/>
        <w:rPr>
          <w:i/>
          <w:iCs/>
          <w:sz w:val="26"/>
          <w:szCs w:val="26"/>
          <w:lang w:val="nl-NL"/>
        </w:rPr>
      </w:pPr>
    </w:p>
    <w:p w14:paraId="7080D228" w14:textId="77777777" w:rsidR="00BB5790" w:rsidRDefault="00BB5790" w:rsidP="00BB5790">
      <w:pPr>
        <w:spacing w:line="320" w:lineRule="exact"/>
        <w:rPr>
          <w:i/>
          <w:iCs/>
          <w:sz w:val="26"/>
          <w:szCs w:val="26"/>
          <w:lang w:val="nl-NL"/>
        </w:rPr>
      </w:pPr>
    </w:p>
    <w:p w14:paraId="190B393A" w14:textId="77777777" w:rsidR="00BB5790" w:rsidRDefault="00BB5790" w:rsidP="00BB5790">
      <w:pPr>
        <w:spacing w:line="320" w:lineRule="exact"/>
        <w:rPr>
          <w:i/>
          <w:iCs/>
          <w:sz w:val="26"/>
          <w:szCs w:val="26"/>
          <w:lang w:val="nl-NL"/>
        </w:rPr>
      </w:pPr>
    </w:p>
    <w:p w14:paraId="5E9F20BD" w14:textId="77777777" w:rsidR="00BB5790" w:rsidRDefault="00BB5790" w:rsidP="00BB5790">
      <w:pPr>
        <w:spacing w:line="320" w:lineRule="exact"/>
        <w:rPr>
          <w:i/>
          <w:iCs/>
          <w:sz w:val="26"/>
          <w:szCs w:val="26"/>
          <w:lang w:val="nl-NL"/>
        </w:rPr>
      </w:pPr>
    </w:p>
    <w:p w14:paraId="2F7EE0EE" w14:textId="77777777" w:rsidR="00BB5790" w:rsidRDefault="00BB5790" w:rsidP="00BB5790">
      <w:pPr>
        <w:spacing w:line="320" w:lineRule="exact"/>
        <w:rPr>
          <w:i/>
          <w:iCs/>
          <w:sz w:val="26"/>
          <w:szCs w:val="26"/>
          <w:lang w:val="nl-NL"/>
        </w:rPr>
      </w:pPr>
    </w:p>
    <w:p w14:paraId="3187DCF5" w14:textId="77777777" w:rsidR="00CC0DA7" w:rsidRDefault="00CC0DA7"/>
    <w:sectPr w:rsidR="00CC0DA7" w:rsidSect="001A749B">
      <w:pgSz w:w="11907" w:h="16839" w:code="9"/>
      <w:pgMar w:top="851" w:right="851" w:bottom="567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75D2E7" w15:done="0"/>
  <w15:commentEx w15:paraId="457FA543" w15:done="0"/>
  <w15:commentEx w15:paraId="7AD34D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erce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HandelGothic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4F7"/>
    <w:multiLevelType w:val="hybridMultilevel"/>
    <w:tmpl w:val="A66ABDD4"/>
    <w:lvl w:ilvl="0" w:tplc="0E60E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117CA"/>
    <w:multiLevelType w:val="hybridMultilevel"/>
    <w:tmpl w:val="BB8EB8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410C79"/>
    <w:multiLevelType w:val="hybridMultilevel"/>
    <w:tmpl w:val="58006378"/>
    <w:lvl w:ilvl="0" w:tplc="0409000D">
      <w:start w:val="1"/>
      <w:numFmt w:val="bullet"/>
      <w:lvlText w:val=""/>
      <w:lvlJc w:val="left"/>
      <w:pPr>
        <w:ind w:left="3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">
    <w:nsid w:val="29584556"/>
    <w:multiLevelType w:val="hybridMultilevel"/>
    <w:tmpl w:val="586C7E58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76705"/>
    <w:multiLevelType w:val="hybridMultilevel"/>
    <w:tmpl w:val="842CF570"/>
    <w:lvl w:ilvl="0" w:tplc="B3263B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E781D"/>
    <w:multiLevelType w:val="hybridMultilevel"/>
    <w:tmpl w:val="FB047412"/>
    <w:lvl w:ilvl="0" w:tplc="DBE8D34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5023AD"/>
    <w:multiLevelType w:val="hybridMultilevel"/>
    <w:tmpl w:val="AE48AFD4"/>
    <w:lvl w:ilvl="0" w:tplc="2C38D7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06A24"/>
    <w:multiLevelType w:val="multilevel"/>
    <w:tmpl w:val="B99E6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90"/>
    <w:rsid w:val="00032CA6"/>
    <w:rsid w:val="000345A8"/>
    <w:rsid w:val="00054724"/>
    <w:rsid w:val="000A5B4F"/>
    <w:rsid w:val="000F1294"/>
    <w:rsid w:val="001017C8"/>
    <w:rsid w:val="00106EAA"/>
    <w:rsid w:val="00126E8B"/>
    <w:rsid w:val="00136BA7"/>
    <w:rsid w:val="001A749B"/>
    <w:rsid w:val="001C423F"/>
    <w:rsid w:val="001D14C1"/>
    <w:rsid w:val="001F6643"/>
    <w:rsid w:val="002E7008"/>
    <w:rsid w:val="00334689"/>
    <w:rsid w:val="00355902"/>
    <w:rsid w:val="00372FA9"/>
    <w:rsid w:val="003A5582"/>
    <w:rsid w:val="003D108D"/>
    <w:rsid w:val="003F4A34"/>
    <w:rsid w:val="00472440"/>
    <w:rsid w:val="00473DEF"/>
    <w:rsid w:val="00486703"/>
    <w:rsid w:val="004908F5"/>
    <w:rsid w:val="004E2C6C"/>
    <w:rsid w:val="0050454B"/>
    <w:rsid w:val="0057399E"/>
    <w:rsid w:val="00577D20"/>
    <w:rsid w:val="005815FB"/>
    <w:rsid w:val="005E12D6"/>
    <w:rsid w:val="00627641"/>
    <w:rsid w:val="00634EBD"/>
    <w:rsid w:val="00635678"/>
    <w:rsid w:val="00647636"/>
    <w:rsid w:val="00665B19"/>
    <w:rsid w:val="00672393"/>
    <w:rsid w:val="00683AEE"/>
    <w:rsid w:val="006A6081"/>
    <w:rsid w:val="006B73BF"/>
    <w:rsid w:val="006D3296"/>
    <w:rsid w:val="006E3B40"/>
    <w:rsid w:val="00730F13"/>
    <w:rsid w:val="007331B3"/>
    <w:rsid w:val="007655BD"/>
    <w:rsid w:val="007712F7"/>
    <w:rsid w:val="0077243D"/>
    <w:rsid w:val="007C35ED"/>
    <w:rsid w:val="0080616C"/>
    <w:rsid w:val="00822539"/>
    <w:rsid w:val="008928EC"/>
    <w:rsid w:val="008C10BD"/>
    <w:rsid w:val="00910D25"/>
    <w:rsid w:val="009151E8"/>
    <w:rsid w:val="00983DE4"/>
    <w:rsid w:val="00996EDA"/>
    <w:rsid w:val="009C5508"/>
    <w:rsid w:val="00A33401"/>
    <w:rsid w:val="00A375C7"/>
    <w:rsid w:val="00A416A2"/>
    <w:rsid w:val="00A52F39"/>
    <w:rsid w:val="00A86589"/>
    <w:rsid w:val="00AB07D8"/>
    <w:rsid w:val="00AB4771"/>
    <w:rsid w:val="00B02174"/>
    <w:rsid w:val="00B05C78"/>
    <w:rsid w:val="00B2284B"/>
    <w:rsid w:val="00B37F1B"/>
    <w:rsid w:val="00B57452"/>
    <w:rsid w:val="00B85285"/>
    <w:rsid w:val="00BA00A3"/>
    <w:rsid w:val="00BA451A"/>
    <w:rsid w:val="00BB1806"/>
    <w:rsid w:val="00BB5790"/>
    <w:rsid w:val="00BC526F"/>
    <w:rsid w:val="00BC67B7"/>
    <w:rsid w:val="00C1548B"/>
    <w:rsid w:val="00C40ADF"/>
    <w:rsid w:val="00C61C3A"/>
    <w:rsid w:val="00C953FD"/>
    <w:rsid w:val="00CC0DA7"/>
    <w:rsid w:val="00CD600B"/>
    <w:rsid w:val="00CE0B90"/>
    <w:rsid w:val="00CF73CA"/>
    <w:rsid w:val="00D31F83"/>
    <w:rsid w:val="00D40408"/>
    <w:rsid w:val="00D54E00"/>
    <w:rsid w:val="00D64DE7"/>
    <w:rsid w:val="00D67076"/>
    <w:rsid w:val="00DA62F5"/>
    <w:rsid w:val="00DF2D38"/>
    <w:rsid w:val="00E1355D"/>
    <w:rsid w:val="00E368C1"/>
    <w:rsid w:val="00E43F0D"/>
    <w:rsid w:val="00EA6C05"/>
    <w:rsid w:val="00EF0F98"/>
    <w:rsid w:val="00F041AD"/>
    <w:rsid w:val="00F0540F"/>
    <w:rsid w:val="00F4622A"/>
    <w:rsid w:val="00FA1620"/>
    <w:rsid w:val="00FA35DD"/>
    <w:rsid w:val="00FB1E72"/>
    <w:rsid w:val="00FD5744"/>
    <w:rsid w:val="00FE3044"/>
    <w:rsid w:val="00FF031E"/>
    <w:rsid w:val="00FF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AE3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B57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B5790"/>
    <w:rPr>
      <w:rFonts w:ascii="Times New Roman" w:eastAsia="Times New Roman" w:hAnsi="Times New Roman" w:cs="Times New Roman"/>
      <w:b/>
      <w:bCs/>
    </w:rPr>
  </w:style>
  <w:style w:type="paragraph" w:customStyle="1" w:styleId="PNORMAL">
    <w:name w:val="P.NORMAL"/>
    <w:basedOn w:val="Normal"/>
    <w:rsid w:val="00BB5790"/>
    <w:pPr>
      <w:spacing w:before="76" w:after="153"/>
    </w:pPr>
    <w:rPr>
      <w:rFonts w:eastAsia=".VnTime" w:cs="Arial"/>
      <w:szCs w:val="20"/>
    </w:rPr>
  </w:style>
  <w:style w:type="paragraph" w:styleId="BodyText2">
    <w:name w:val="Body Text 2"/>
    <w:basedOn w:val="Normal"/>
    <w:link w:val="BodyText2Char"/>
    <w:rsid w:val="00BB57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B5790"/>
    <w:rPr>
      <w:rFonts w:ascii="Times New Roman" w:eastAsia="Times New Roman" w:hAnsi="Times New Roman" w:cs="Times New Roman"/>
      <w:sz w:val="24"/>
      <w:szCs w:val="24"/>
    </w:rPr>
  </w:style>
  <w:style w:type="character" w:customStyle="1" w:styleId="xnn">
    <w:name w:val="xnn"/>
    <w:basedOn w:val="DefaultParagraphFont"/>
    <w:rsid w:val="00BB5790"/>
  </w:style>
  <w:style w:type="paragraph" w:styleId="BalloonText">
    <w:name w:val="Balloon Text"/>
    <w:basedOn w:val="Normal"/>
    <w:link w:val="BalloonTextChar"/>
    <w:uiPriority w:val="99"/>
    <w:semiHidden/>
    <w:unhideWhenUsed/>
    <w:rsid w:val="00BB5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9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7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0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0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0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B57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B5790"/>
    <w:rPr>
      <w:rFonts w:ascii="Times New Roman" w:eastAsia="Times New Roman" w:hAnsi="Times New Roman" w:cs="Times New Roman"/>
      <w:b/>
      <w:bCs/>
    </w:rPr>
  </w:style>
  <w:style w:type="paragraph" w:customStyle="1" w:styleId="PNORMAL">
    <w:name w:val="P.NORMAL"/>
    <w:basedOn w:val="Normal"/>
    <w:rsid w:val="00BB5790"/>
    <w:pPr>
      <w:spacing w:before="76" w:after="153"/>
    </w:pPr>
    <w:rPr>
      <w:rFonts w:eastAsia=".VnTime" w:cs="Arial"/>
      <w:szCs w:val="20"/>
    </w:rPr>
  </w:style>
  <w:style w:type="paragraph" w:styleId="BodyText2">
    <w:name w:val="Body Text 2"/>
    <w:basedOn w:val="Normal"/>
    <w:link w:val="BodyText2Char"/>
    <w:rsid w:val="00BB57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B5790"/>
    <w:rPr>
      <w:rFonts w:ascii="Times New Roman" w:eastAsia="Times New Roman" w:hAnsi="Times New Roman" w:cs="Times New Roman"/>
      <w:sz w:val="24"/>
      <w:szCs w:val="24"/>
    </w:rPr>
  </w:style>
  <w:style w:type="character" w:customStyle="1" w:styleId="xnn">
    <w:name w:val="xnn"/>
    <w:basedOn w:val="DefaultParagraphFont"/>
    <w:rsid w:val="00BB5790"/>
  </w:style>
  <w:style w:type="paragraph" w:styleId="BalloonText">
    <w:name w:val="Balloon Text"/>
    <w:basedOn w:val="Normal"/>
    <w:link w:val="BalloonTextChar"/>
    <w:uiPriority w:val="99"/>
    <w:semiHidden/>
    <w:unhideWhenUsed/>
    <w:rsid w:val="00BB5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9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7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0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0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0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AEB7-31D7-4AAD-AB58-56A66842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HUYEN</dc:creator>
  <cp:lastModifiedBy>Windows User</cp:lastModifiedBy>
  <cp:revision>10</cp:revision>
  <cp:lastPrinted>2017-04-21T09:41:00Z</cp:lastPrinted>
  <dcterms:created xsi:type="dcterms:W3CDTF">2017-04-03T07:06:00Z</dcterms:created>
  <dcterms:modified xsi:type="dcterms:W3CDTF">2017-04-22T08:54:00Z</dcterms:modified>
</cp:coreProperties>
</file>