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tblInd w:w="-97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795"/>
        <w:gridCol w:w="4783"/>
      </w:tblGrid>
      <w:tr w:rsidR="007448E0" w:rsidRPr="005136D5" w:rsidTr="007B2F99">
        <w:trPr>
          <w:trHeight w:val="1866"/>
        </w:trPr>
        <w:tc>
          <w:tcPr>
            <w:tcW w:w="5795" w:type="dxa"/>
          </w:tcPr>
          <w:p w:rsidR="007448E0" w:rsidRPr="005136D5" w:rsidRDefault="007448E0" w:rsidP="007B2F99">
            <w:pPr>
              <w:ind w:hanging="108"/>
              <w:jc w:val="center"/>
              <w:rPr>
                <w:rFonts w:ascii="Commerce" w:hAnsi="Commerce"/>
                <w:b/>
              </w:rPr>
            </w:pPr>
            <w:r>
              <w:rPr>
                <w:rFonts w:ascii="Commerce" w:hAnsi="Commerce" w:cs="Arial"/>
                <w:noProof/>
                <w:sz w:val="32"/>
                <w:szCs w:val="32"/>
              </w:rPr>
              <w:drawing>
                <wp:inline distT="0" distB="0" distL="0" distR="0">
                  <wp:extent cx="1282700" cy="100965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8E0" w:rsidRPr="00B406CF" w:rsidRDefault="007448E0" w:rsidP="007B2F99">
            <w:pPr>
              <w:tabs>
                <w:tab w:val="left" w:pos="4680"/>
              </w:tabs>
              <w:jc w:val="center"/>
              <w:rPr>
                <w:rFonts w:ascii="VNI-HandelGothic" w:hAnsi="VNI-HandelGothic"/>
                <w:b/>
                <w:bCs/>
              </w:rPr>
            </w:pPr>
            <w:r w:rsidRPr="00B406CF">
              <w:rPr>
                <w:rFonts w:ascii="VNI-HandelGothic" w:hAnsi="VNI-HandelGothic"/>
                <w:b/>
                <w:bCs/>
                <w:sz w:val="22"/>
                <w:szCs w:val="22"/>
              </w:rPr>
              <w:t>COÂNG TY COÅ PHAÀN ÑAÂU TÖ VAØ</w:t>
            </w:r>
          </w:p>
          <w:p w:rsidR="007448E0" w:rsidRPr="00B406CF" w:rsidRDefault="007448E0" w:rsidP="007B2F99">
            <w:pPr>
              <w:tabs>
                <w:tab w:val="left" w:pos="4680"/>
              </w:tabs>
              <w:jc w:val="center"/>
              <w:rPr>
                <w:rFonts w:ascii="Commerce" w:hAnsi="Commerce"/>
                <w:b/>
                <w:bCs/>
              </w:rPr>
            </w:pPr>
            <w:r w:rsidRPr="00B406CF">
              <w:rPr>
                <w:rFonts w:ascii="VNI-HandelGothic" w:hAnsi="VNI-HandelGothic"/>
                <w:b/>
                <w:bCs/>
                <w:sz w:val="22"/>
                <w:szCs w:val="22"/>
              </w:rPr>
              <w:t>PHAÙT TRIEÅN ÑOÂ THÒ LONG GIANG</w:t>
            </w:r>
          </w:p>
          <w:p w:rsidR="007448E0" w:rsidRPr="005136D5" w:rsidRDefault="007448E0" w:rsidP="007B2F99">
            <w:pPr>
              <w:pStyle w:val="PNORMAL"/>
              <w:spacing w:before="0" w:after="120" w:line="160" w:lineRule="atLeast"/>
              <w:jc w:val="center"/>
              <w:rPr>
                <w:rFonts w:ascii="Commerce" w:hAnsi="Commerce" w:cs="Times New Roman"/>
                <w:szCs w:val="24"/>
              </w:rPr>
            </w:pPr>
            <w:r w:rsidRPr="005136D5">
              <w:rPr>
                <w:rFonts w:ascii="Commerce" w:eastAsia="Times New Roman" w:hAnsi="Commerce" w:cs="Times New Roman"/>
                <w:szCs w:val="24"/>
              </w:rPr>
              <w:t xml:space="preserve">... </w:t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3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2"/>
            </w:r>
            <w:r w:rsidRPr="005136D5">
              <w:rPr>
                <w:rFonts w:ascii="Commerce" w:eastAsia="Times New Roman" w:hAnsi="Commerce" w:cs="Times New Roman"/>
                <w:szCs w:val="24"/>
              </w:rPr>
              <w:t>...</w:t>
            </w:r>
          </w:p>
          <w:p w:rsidR="007448E0" w:rsidRPr="006329C6" w:rsidRDefault="007448E0" w:rsidP="0029313E">
            <w:pPr>
              <w:tabs>
                <w:tab w:val="left" w:pos="4680"/>
              </w:tabs>
              <w:jc w:val="center"/>
              <w:rPr>
                <w:rFonts w:ascii="Commerce" w:hAnsi="Commerce"/>
                <w:color w:val="222222"/>
              </w:rPr>
            </w:pPr>
            <w:r>
              <w:rPr>
                <w:rFonts w:ascii="Commerce" w:hAnsi="Commerce"/>
                <w:color w:val="2222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22222"/>
                <w:szCs w:val="22"/>
              </w:rPr>
              <w:t>ố</w:t>
            </w:r>
            <w:r>
              <w:rPr>
                <w:rFonts w:ascii="Commerce" w:hAnsi="Commerce"/>
                <w:color w:val="222222"/>
                <w:szCs w:val="22"/>
              </w:rPr>
              <w:t xml:space="preserve">: </w:t>
            </w:r>
            <w:r w:rsidR="0033574D">
              <w:rPr>
                <w:rFonts w:ascii="Commerce" w:hAnsi="Commerce"/>
                <w:color w:val="222222"/>
                <w:szCs w:val="22"/>
              </w:rPr>
              <w:t>0</w:t>
            </w:r>
            <w:r w:rsidR="0029313E">
              <w:rPr>
                <w:rFonts w:ascii="Commerce" w:hAnsi="Commerce"/>
                <w:color w:val="222222"/>
                <w:szCs w:val="22"/>
              </w:rPr>
              <w:t>2</w:t>
            </w:r>
            <w:r>
              <w:rPr>
                <w:rFonts w:ascii="Commerce" w:hAnsi="Commerce"/>
                <w:color w:val="222222"/>
                <w:szCs w:val="22"/>
              </w:rPr>
              <w:t xml:space="preserve"> /HĐQT-ĐHĐCĐTN</w:t>
            </w:r>
          </w:p>
        </w:tc>
        <w:tc>
          <w:tcPr>
            <w:tcW w:w="4783" w:type="dxa"/>
          </w:tcPr>
          <w:p w:rsidR="007448E0" w:rsidRDefault="007448E0" w:rsidP="007B2F99">
            <w:pPr>
              <w:keepNext/>
              <w:tabs>
                <w:tab w:val="left" w:pos="615"/>
                <w:tab w:val="left" w:pos="4680"/>
              </w:tabs>
              <w:jc w:val="center"/>
              <w:outlineLvl w:val="6"/>
              <w:rPr>
                <w:rFonts w:ascii="VNI-HandelGothic" w:hAnsi="VNI-HandelGothic"/>
                <w:b/>
                <w:bCs/>
              </w:rPr>
            </w:pPr>
          </w:p>
          <w:p w:rsidR="007448E0" w:rsidRPr="00B406CF" w:rsidRDefault="007448E0" w:rsidP="007B2F99">
            <w:pPr>
              <w:keepNext/>
              <w:tabs>
                <w:tab w:val="left" w:pos="615"/>
                <w:tab w:val="left" w:pos="4680"/>
              </w:tabs>
              <w:jc w:val="center"/>
              <w:outlineLvl w:val="6"/>
              <w:rPr>
                <w:rFonts w:ascii="VNI-HandelGothic" w:hAnsi="VNI-HandelGothic"/>
                <w:b/>
                <w:bCs/>
              </w:rPr>
            </w:pPr>
            <w:r w:rsidRPr="00B406CF">
              <w:rPr>
                <w:rFonts w:ascii="VNI-HandelGothic" w:hAnsi="VNI-HandelGothic"/>
                <w:b/>
                <w:bCs/>
                <w:sz w:val="22"/>
                <w:szCs w:val="22"/>
              </w:rPr>
              <w:t>COÄNG HOAØ XAÕ HOÄI CHUÛ NGHÓA VIEÄT NAM</w:t>
            </w:r>
          </w:p>
          <w:p w:rsidR="007448E0" w:rsidRPr="00B406CF" w:rsidRDefault="007448E0" w:rsidP="007B2F99">
            <w:pPr>
              <w:tabs>
                <w:tab w:val="left" w:pos="4680"/>
              </w:tabs>
              <w:jc w:val="center"/>
              <w:rPr>
                <w:rFonts w:ascii="VNI-HandelGothic" w:hAnsi="VNI-HandelGothic"/>
                <w:b/>
                <w:bCs/>
                <w:color w:val="222222"/>
              </w:rPr>
            </w:pPr>
            <w:r w:rsidRPr="00B406CF">
              <w:rPr>
                <w:rFonts w:ascii="VNI-HandelGothic" w:hAnsi="VNI-HandelGothic"/>
                <w:b/>
                <w:bCs/>
                <w:color w:val="222222"/>
                <w:sz w:val="22"/>
                <w:szCs w:val="22"/>
              </w:rPr>
              <w:t>Ñoäc laäp – Töï do – Haïnh phuùc</w:t>
            </w:r>
          </w:p>
          <w:p w:rsidR="007448E0" w:rsidRPr="005136D5" w:rsidRDefault="007448E0" w:rsidP="007B2F99">
            <w:pPr>
              <w:pStyle w:val="PNORMAL"/>
              <w:spacing w:before="0" w:after="0"/>
              <w:jc w:val="center"/>
              <w:rPr>
                <w:rFonts w:ascii="Commerce" w:hAnsi="Commerce" w:cs="Times New Roman"/>
                <w:szCs w:val="24"/>
              </w:rPr>
            </w:pPr>
            <w:r w:rsidRPr="005136D5">
              <w:rPr>
                <w:rFonts w:ascii="Commerce" w:eastAsia="Times New Roman" w:hAnsi="Commerce" w:cs="Times New Roman"/>
                <w:szCs w:val="24"/>
              </w:rPr>
              <w:t xml:space="preserve">............. </w:t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3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2"/>
            </w:r>
            <w:r w:rsidRPr="005136D5">
              <w:rPr>
                <w:rFonts w:ascii="Commerce" w:eastAsia="Times New Roman" w:hAnsi="Commerce" w:cs="Times New Roman"/>
                <w:szCs w:val="24"/>
              </w:rPr>
              <w:t>..............</w:t>
            </w:r>
          </w:p>
          <w:p w:rsidR="007448E0" w:rsidRPr="005136D5" w:rsidRDefault="007448E0" w:rsidP="007B2F99">
            <w:pPr>
              <w:tabs>
                <w:tab w:val="left" w:pos="4680"/>
              </w:tabs>
              <w:jc w:val="center"/>
              <w:rPr>
                <w:rFonts w:ascii="Commerce" w:hAnsi="Commerce"/>
                <w:b/>
                <w:bCs/>
                <w:color w:val="222222"/>
              </w:rPr>
            </w:pPr>
          </w:p>
          <w:p w:rsidR="007448E0" w:rsidRPr="005136D5" w:rsidRDefault="007448E0" w:rsidP="007B2F99">
            <w:pPr>
              <w:keepNext/>
              <w:widowControl w:val="0"/>
              <w:jc w:val="center"/>
              <w:outlineLvl w:val="5"/>
              <w:rPr>
                <w:rFonts w:ascii="Commerce" w:hAnsi="Commerce"/>
                <w:i/>
                <w:iCs/>
                <w:sz w:val="26"/>
                <w:szCs w:val="26"/>
              </w:rPr>
            </w:pPr>
          </w:p>
          <w:p w:rsidR="007448E0" w:rsidRPr="00B406CF" w:rsidRDefault="007448E0" w:rsidP="0033574D">
            <w:pPr>
              <w:keepNext/>
              <w:widowControl w:val="0"/>
              <w:jc w:val="right"/>
              <w:outlineLvl w:val="5"/>
              <w:rPr>
                <w:rFonts w:ascii="Commerce" w:hAnsi="Commerce"/>
                <w:i/>
                <w:iCs/>
              </w:rPr>
            </w:pPr>
            <w:r>
              <w:rPr>
                <w:rFonts w:ascii="Commerce" w:hAnsi="Commerce"/>
                <w:i/>
                <w:iCs/>
                <w:sz w:val="22"/>
                <w:szCs w:val="22"/>
              </w:rPr>
              <w:t>Hà n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ộ</w:t>
            </w:r>
            <w:r>
              <w:rPr>
                <w:rFonts w:ascii="Commerce" w:hAnsi="Commerce"/>
                <w:i/>
                <w:iCs/>
                <w:sz w:val="22"/>
                <w:szCs w:val="22"/>
              </w:rPr>
              <w:t xml:space="preserve">i, ngày </w:t>
            </w:r>
            <w:r w:rsidR="0033574D">
              <w:rPr>
                <w:rFonts w:ascii="Commerce" w:hAnsi="Commerce"/>
                <w:i/>
                <w:iCs/>
                <w:sz w:val="22"/>
                <w:szCs w:val="22"/>
              </w:rPr>
              <w:t xml:space="preserve"> 10 </w:t>
            </w:r>
            <w:r>
              <w:rPr>
                <w:rFonts w:ascii="Commerce" w:hAnsi="Commerce"/>
                <w:i/>
                <w:iCs/>
                <w:sz w:val="22"/>
                <w:szCs w:val="22"/>
              </w:rPr>
              <w:t xml:space="preserve">tháng </w:t>
            </w:r>
            <w:r w:rsidR="0033574D">
              <w:rPr>
                <w:rFonts w:ascii="Commerce" w:hAnsi="Commerce"/>
                <w:i/>
                <w:iCs/>
                <w:sz w:val="22"/>
                <w:szCs w:val="22"/>
              </w:rPr>
              <w:t xml:space="preserve"> 04 </w:t>
            </w:r>
            <w:r>
              <w:rPr>
                <w:rFonts w:ascii="Commerce" w:hAnsi="Commerce"/>
                <w:i/>
                <w:iCs/>
                <w:sz w:val="22"/>
                <w:szCs w:val="22"/>
              </w:rPr>
              <w:t>năm 201</w:t>
            </w:r>
            <w:r w:rsidR="006A37D0">
              <w:rPr>
                <w:rFonts w:ascii="Commerce" w:hAnsi="Commerce"/>
                <w:i/>
                <w:iCs/>
                <w:sz w:val="22"/>
                <w:szCs w:val="22"/>
              </w:rPr>
              <w:t>7</w:t>
            </w:r>
          </w:p>
        </w:tc>
      </w:tr>
    </w:tbl>
    <w:p w:rsidR="007448E0" w:rsidRPr="005F125F" w:rsidRDefault="007448E0" w:rsidP="007448E0"/>
    <w:p w:rsidR="007448E0" w:rsidRPr="00C231EB" w:rsidRDefault="007448E0" w:rsidP="007448E0">
      <w:pPr>
        <w:jc w:val="center"/>
        <w:rPr>
          <w:rFonts w:cs="Tahoma"/>
          <w:b/>
          <w:bCs/>
        </w:rPr>
      </w:pPr>
      <w:r w:rsidRPr="00C231EB">
        <w:rPr>
          <w:rFonts w:cs="Tahoma"/>
          <w:b/>
          <w:bCs/>
        </w:rPr>
        <w:t xml:space="preserve">TỜ TRÌNH CỦA HỘI ĐỒNG QUẢN TRỊ </w:t>
      </w:r>
    </w:p>
    <w:p w:rsidR="007448E0" w:rsidRPr="00C231EB" w:rsidRDefault="007448E0" w:rsidP="007448E0">
      <w:pPr>
        <w:jc w:val="center"/>
        <w:rPr>
          <w:rFonts w:cs="Tahoma"/>
          <w:b/>
          <w:bCs/>
        </w:rPr>
      </w:pPr>
      <w:r w:rsidRPr="00C231EB">
        <w:rPr>
          <w:rFonts w:cs="Tahoma"/>
          <w:b/>
          <w:bCs/>
        </w:rPr>
        <w:t>CÔNG TY CỔ PHẦN ĐẦU TƯ VÀ PHÁT TRIỂN ĐÔ THỊ LONG GIANG</w:t>
      </w:r>
    </w:p>
    <w:p w:rsidR="007448E0" w:rsidRPr="005F125F" w:rsidRDefault="007448E0" w:rsidP="007448E0">
      <w:pPr>
        <w:jc w:val="center"/>
        <w:rPr>
          <w:rFonts w:cs="Tahoma"/>
          <w:i/>
          <w:iCs/>
          <w:sz w:val="26"/>
        </w:rPr>
      </w:pPr>
      <w:r>
        <w:rPr>
          <w:rFonts w:cs="Tahoma"/>
          <w:i/>
          <w:iCs/>
          <w:sz w:val="26"/>
        </w:rPr>
        <w:t xml:space="preserve"> (</w:t>
      </w:r>
      <w:r w:rsidRPr="005F125F">
        <w:rPr>
          <w:rFonts w:cs="Tahoma"/>
          <w:i/>
          <w:iCs/>
          <w:sz w:val="26"/>
        </w:rPr>
        <w:t>V/v: Xin ý kiến của Đại hội đồng cổ đông thường niên năm 201</w:t>
      </w:r>
      <w:r w:rsidR="006A37D0">
        <w:rPr>
          <w:rFonts w:cs="Tahoma"/>
          <w:i/>
          <w:iCs/>
          <w:sz w:val="26"/>
        </w:rPr>
        <w:t>7</w:t>
      </w:r>
      <w:r w:rsidRPr="005F125F">
        <w:rPr>
          <w:rFonts w:cs="Tahoma"/>
          <w:i/>
          <w:iCs/>
          <w:sz w:val="26"/>
        </w:rPr>
        <w:t>)</w:t>
      </w:r>
    </w:p>
    <w:p w:rsidR="007448E0" w:rsidRPr="005F125F" w:rsidRDefault="007448E0" w:rsidP="007448E0">
      <w:pPr>
        <w:jc w:val="center"/>
        <w:rPr>
          <w:b/>
          <w:i/>
          <w:iCs/>
          <w:sz w:val="26"/>
          <w:szCs w:val="26"/>
        </w:rPr>
      </w:pPr>
    </w:p>
    <w:p w:rsidR="00846995" w:rsidRPr="005F125F" w:rsidRDefault="00846995" w:rsidP="00846995">
      <w:pPr>
        <w:spacing w:after="120"/>
        <w:jc w:val="center"/>
        <w:rPr>
          <w:rFonts w:cs="Tahoma"/>
          <w:b/>
        </w:rPr>
      </w:pPr>
      <w:r w:rsidRPr="005F125F">
        <w:rPr>
          <w:rFonts w:cs="Tahoma"/>
          <w:b/>
          <w:i/>
        </w:rPr>
        <w:t>Kính gửi</w:t>
      </w:r>
      <w:r w:rsidRPr="005F125F">
        <w:rPr>
          <w:rFonts w:cs="Tahoma"/>
        </w:rPr>
        <w:t xml:space="preserve">: </w:t>
      </w:r>
      <w:r w:rsidRPr="005F125F">
        <w:rPr>
          <w:rFonts w:cs="Tahoma"/>
          <w:b/>
        </w:rPr>
        <w:t>ĐẠI HỘI ĐỒNG CỔ ĐÔNG THƯỜNG NIÊN NĂM 201</w:t>
      </w:r>
      <w:r>
        <w:rPr>
          <w:rFonts w:cs="Tahoma"/>
          <w:b/>
        </w:rPr>
        <w:t>7</w:t>
      </w:r>
    </w:p>
    <w:p w:rsidR="00846995" w:rsidRPr="005F125F" w:rsidRDefault="00846995" w:rsidP="00846995">
      <w:pPr>
        <w:spacing w:line="360" w:lineRule="exact"/>
        <w:rPr>
          <w:rFonts w:cs="Tahoma"/>
          <w:sz w:val="26"/>
          <w:szCs w:val="26"/>
        </w:rPr>
      </w:pPr>
      <w:r w:rsidRPr="005F125F">
        <w:rPr>
          <w:rFonts w:cs="Tahoma"/>
          <w:sz w:val="26"/>
          <w:szCs w:val="26"/>
        </w:rPr>
        <w:t>Hội đồng quản trị Công ty CPĐT&amp;PTĐT Long Giang kính trình Đại hội đồng Cổ đông thường niên năm 201</w:t>
      </w:r>
      <w:r>
        <w:rPr>
          <w:rFonts w:cs="Tahoma"/>
          <w:sz w:val="26"/>
          <w:szCs w:val="26"/>
        </w:rPr>
        <w:t>7</w:t>
      </w:r>
      <w:r w:rsidRPr="005F125F">
        <w:rPr>
          <w:rFonts w:cs="Tahoma"/>
          <w:sz w:val="26"/>
          <w:szCs w:val="26"/>
        </w:rPr>
        <w:t xml:space="preserve"> thông qua các nội dung sau: </w:t>
      </w:r>
    </w:p>
    <w:p w:rsidR="00846995" w:rsidRDefault="00846995" w:rsidP="00846995">
      <w:pPr>
        <w:numPr>
          <w:ilvl w:val="3"/>
          <w:numId w:val="2"/>
        </w:numPr>
        <w:spacing w:before="120" w:after="120" w:line="360" w:lineRule="exact"/>
        <w:ind w:left="709" w:hanging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Thông qua báo cáo kết quả SXKD năm 2016 và kế hoạch SXKD năm 2017 của Ban điều hành với các</w:t>
      </w:r>
      <w:r w:rsidRPr="00611037">
        <w:rPr>
          <w:b/>
          <w:sz w:val="26"/>
          <w:szCs w:val="26"/>
        </w:rPr>
        <w:t xml:space="preserve"> chỉ tiêu chính</w:t>
      </w:r>
      <w:r>
        <w:rPr>
          <w:b/>
          <w:sz w:val="26"/>
          <w:szCs w:val="26"/>
        </w:rPr>
        <w:t xml:space="preserve"> như sau</w:t>
      </w:r>
      <w:r w:rsidRPr="00611037">
        <w:rPr>
          <w:b/>
          <w:sz w:val="26"/>
          <w:szCs w:val="26"/>
        </w:rPr>
        <w:t>:</w:t>
      </w:r>
    </w:p>
    <w:p w:rsidR="00846995" w:rsidRPr="00435D2C" w:rsidRDefault="00846995" w:rsidP="00846995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Kết quả SXKD năm 2016 theo báo cáo tài chính năm 2016 của công ty mẹ:</w:t>
      </w:r>
    </w:p>
    <w:tbl>
      <w:tblPr>
        <w:tblW w:w="979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709"/>
        <w:gridCol w:w="4253"/>
        <w:gridCol w:w="3027"/>
        <w:gridCol w:w="1803"/>
      </w:tblGrid>
      <w:tr w:rsidR="00846995" w:rsidRPr="005F125F" w:rsidTr="002E2620">
        <w:trPr>
          <w:trHeight w:val="645"/>
        </w:trPr>
        <w:tc>
          <w:tcPr>
            <w:tcW w:w="709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TT</w:t>
            </w:r>
          </w:p>
        </w:tc>
        <w:tc>
          <w:tcPr>
            <w:tcW w:w="4253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CHỈ TIÊU</w:t>
            </w:r>
          </w:p>
        </w:tc>
        <w:tc>
          <w:tcPr>
            <w:tcW w:w="3027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SỐ TIỀN</w:t>
            </w:r>
          </w:p>
        </w:tc>
        <w:tc>
          <w:tcPr>
            <w:tcW w:w="1803" w:type="dxa"/>
            <w:shd w:val="clear" w:color="auto" w:fill="548DD4"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GHI CHÚ</w:t>
            </w:r>
          </w:p>
        </w:tc>
      </w:tr>
      <w:tr w:rsidR="00846995" w:rsidRPr="00435D2C" w:rsidTr="002E262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 xml:space="preserve">Doanh thu </w:t>
            </w:r>
          </w:p>
        </w:tc>
        <w:tc>
          <w:tcPr>
            <w:tcW w:w="3027" w:type="dxa"/>
            <w:noWrap/>
            <w:vAlign w:val="center"/>
          </w:tcPr>
          <w:p w:rsidR="00846995" w:rsidRPr="007F34EE" w:rsidRDefault="00846995" w:rsidP="002E2620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236.806.416.</w:t>
            </w:r>
            <w:r w:rsidRPr="007F34EE">
              <w:rPr>
                <w:sz w:val="26"/>
                <w:szCs w:val="26"/>
              </w:rPr>
              <w:t>213</w:t>
            </w:r>
          </w:p>
        </w:tc>
        <w:tc>
          <w:tcPr>
            <w:tcW w:w="1803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46995" w:rsidRPr="00435D2C" w:rsidTr="002E262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253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>Lợi nhuận sau thuế</w:t>
            </w:r>
          </w:p>
        </w:tc>
        <w:tc>
          <w:tcPr>
            <w:tcW w:w="3027" w:type="dxa"/>
            <w:noWrap/>
            <w:vAlign w:val="center"/>
          </w:tcPr>
          <w:p w:rsidR="00846995" w:rsidRPr="00435D2C" w:rsidRDefault="00846995" w:rsidP="002E262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7F34E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.249.751.</w:t>
            </w:r>
            <w:r w:rsidRPr="007F34EE">
              <w:rPr>
                <w:sz w:val="26"/>
                <w:szCs w:val="26"/>
              </w:rPr>
              <w:t>228</w:t>
            </w:r>
          </w:p>
        </w:tc>
        <w:tc>
          <w:tcPr>
            <w:tcW w:w="1803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846995" w:rsidRPr="00435D2C" w:rsidRDefault="00846995" w:rsidP="00846995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Kết quả SXKD năm 2016 theo báo cáo tài chính hợp nhất năm 2016:</w:t>
      </w:r>
    </w:p>
    <w:tbl>
      <w:tblPr>
        <w:tblW w:w="978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709"/>
        <w:gridCol w:w="4253"/>
        <w:gridCol w:w="3027"/>
        <w:gridCol w:w="1956"/>
      </w:tblGrid>
      <w:tr w:rsidR="00846995" w:rsidRPr="005F125F" w:rsidTr="00D03470">
        <w:trPr>
          <w:trHeight w:val="645"/>
        </w:trPr>
        <w:tc>
          <w:tcPr>
            <w:tcW w:w="709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TT</w:t>
            </w:r>
          </w:p>
        </w:tc>
        <w:tc>
          <w:tcPr>
            <w:tcW w:w="4253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CHỈ TIÊU</w:t>
            </w:r>
          </w:p>
        </w:tc>
        <w:tc>
          <w:tcPr>
            <w:tcW w:w="3027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SỐ TIỀN</w:t>
            </w:r>
          </w:p>
        </w:tc>
        <w:tc>
          <w:tcPr>
            <w:tcW w:w="1792" w:type="dxa"/>
            <w:shd w:val="clear" w:color="auto" w:fill="548DD4"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GHI CHÚ</w:t>
            </w:r>
          </w:p>
        </w:tc>
      </w:tr>
      <w:tr w:rsidR="00846995" w:rsidRPr="00435D2C" w:rsidTr="00D0347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EE589F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EE589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  <w:noWrap/>
            <w:vAlign w:val="center"/>
          </w:tcPr>
          <w:p w:rsidR="00846995" w:rsidRPr="00EE589F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EE589F">
              <w:rPr>
                <w:bCs/>
                <w:sz w:val="26"/>
                <w:szCs w:val="26"/>
              </w:rPr>
              <w:t xml:space="preserve">Doanh thu </w:t>
            </w:r>
          </w:p>
        </w:tc>
        <w:tc>
          <w:tcPr>
            <w:tcW w:w="3027" w:type="dxa"/>
            <w:noWrap/>
            <w:vAlign w:val="center"/>
          </w:tcPr>
          <w:p w:rsidR="00846995" w:rsidRPr="00EE589F" w:rsidRDefault="00846995" w:rsidP="002E2620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191.636.397.770</w:t>
            </w:r>
          </w:p>
        </w:tc>
        <w:tc>
          <w:tcPr>
            <w:tcW w:w="1792" w:type="dxa"/>
            <w:noWrap/>
            <w:vAlign w:val="center"/>
          </w:tcPr>
          <w:p w:rsidR="00846995" w:rsidRPr="00EE589F" w:rsidRDefault="00846995" w:rsidP="002E2620">
            <w:pPr>
              <w:spacing w:line="36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46995" w:rsidRPr="00435D2C" w:rsidTr="00D0347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EE589F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EE589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253" w:type="dxa"/>
            <w:noWrap/>
            <w:vAlign w:val="center"/>
          </w:tcPr>
          <w:p w:rsidR="00846995" w:rsidRPr="00EE589F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EE589F">
              <w:rPr>
                <w:bCs/>
                <w:sz w:val="26"/>
                <w:szCs w:val="26"/>
              </w:rPr>
              <w:t>Lợi nhuận sau thuế</w:t>
            </w:r>
          </w:p>
        </w:tc>
        <w:tc>
          <w:tcPr>
            <w:tcW w:w="3027" w:type="dxa"/>
            <w:noWrap/>
            <w:vAlign w:val="center"/>
          </w:tcPr>
          <w:p w:rsidR="00846995" w:rsidRPr="00EE589F" w:rsidRDefault="00846995" w:rsidP="002E262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589F">
              <w:rPr>
                <w:sz w:val="26"/>
                <w:szCs w:val="26"/>
              </w:rPr>
              <w:t>15.029.885.243</w:t>
            </w:r>
          </w:p>
        </w:tc>
        <w:tc>
          <w:tcPr>
            <w:tcW w:w="1792" w:type="dxa"/>
            <w:noWrap/>
            <w:vAlign w:val="center"/>
          </w:tcPr>
          <w:p w:rsidR="00846995" w:rsidRPr="00EE589F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D03470" w:rsidRPr="00435D2C" w:rsidTr="00D03470">
        <w:trPr>
          <w:trHeight w:val="402"/>
        </w:trPr>
        <w:tc>
          <w:tcPr>
            <w:tcW w:w="709" w:type="dxa"/>
            <w:noWrap/>
            <w:vAlign w:val="center"/>
          </w:tcPr>
          <w:p w:rsidR="00D03470" w:rsidRPr="00D4645E" w:rsidRDefault="00D03470" w:rsidP="00685D4E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253" w:type="dxa"/>
            <w:noWrap/>
            <w:vAlign w:val="center"/>
          </w:tcPr>
          <w:p w:rsidR="00D03470" w:rsidRPr="00D4645E" w:rsidRDefault="00D03470" w:rsidP="00685D4E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Tăng vốn điều lệ từ nguồn thặng dư vốn</w:t>
            </w:r>
          </w:p>
        </w:tc>
        <w:tc>
          <w:tcPr>
            <w:tcW w:w="3027" w:type="dxa"/>
            <w:noWrap/>
            <w:vAlign w:val="center"/>
          </w:tcPr>
          <w:p w:rsidR="00D03470" w:rsidRPr="00D4645E" w:rsidRDefault="00D03470" w:rsidP="00685D4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20%/vốn điều lệ </w:t>
            </w:r>
          </w:p>
        </w:tc>
        <w:tc>
          <w:tcPr>
            <w:tcW w:w="1792" w:type="dxa"/>
            <w:noWrap/>
            <w:vAlign w:val="center"/>
          </w:tcPr>
          <w:p w:rsidR="00D03470" w:rsidRPr="00C503C9" w:rsidRDefault="00D03470" w:rsidP="00685D4E">
            <w:pPr>
              <w:spacing w:line="360" w:lineRule="exact"/>
              <w:jc w:val="center"/>
            </w:pPr>
            <w:r w:rsidRPr="00C503C9">
              <w:t>VĐL cũ: 199.992.750.000đ</w:t>
            </w:r>
          </w:p>
        </w:tc>
      </w:tr>
    </w:tbl>
    <w:p w:rsidR="00846995" w:rsidRPr="00AF4613" w:rsidRDefault="00846995" w:rsidP="00846995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 w:rsidRPr="00AF4613">
        <w:rPr>
          <w:sz w:val="26"/>
          <w:szCs w:val="26"/>
        </w:rPr>
        <w:t xml:space="preserve">Phân phối lợi nhuận sau thuế năm 2016: </w:t>
      </w:r>
    </w:p>
    <w:tbl>
      <w:tblPr>
        <w:tblW w:w="979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709"/>
        <w:gridCol w:w="4691"/>
        <w:gridCol w:w="2589"/>
        <w:gridCol w:w="1803"/>
      </w:tblGrid>
      <w:tr w:rsidR="00846995" w:rsidRPr="005F125F" w:rsidTr="002E2620">
        <w:trPr>
          <w:trHeight w:val="645"/>
        </w:trPr>
        <w:tc>
          <w:tcPr>
            <w:tcW w:w="709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TT</w:t>
            </w:r>
          </w:p>
        </w:tc>
        <w:tc>
          <w:tcPr>
            <w:tcW w:w="4691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CHỈ TIÊU</w:t>
            </w:r>
          </w:p>
        </w:tc>
        <w:tc>
          <w:tcPr>
            <w:tcW w:w="2589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SỐ TIỀN</w:t>
            </w:r>
          </w:p>
        </w:tc>
        <w:tc>
          <w:tcPr>
            <w:tcW w:w="1803" w:type="dxa"/>
            <w:shd w:val="clear" w:color="auto" w:fill="548DD4"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GHI CHÚ</w:t>
            </w:r>
          </w:p>
        </w:tc>
      </w:tr>
      <w:tr w:rsidR="00846995" w:rsidRPr="00C304EA" w:rsidTr="002E262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691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Lợi nhuận sau thuế năm 2016</w:t>
            </w:r>
          </w:p>
        </w:tc>
        <w:tc>
          <w:tcPr>
            <w:tcW w:w="2589" w:type="dxa"/>
            <w:noWrap/>
            <w:vAlign w:val="center"/>
          </w:tcPr>
          <w:p w:rsidR="00846995" w:rsidRPr="00C304EA" w:rsidRDefault="00846995" w:rsidP="002E2620">
            <w:pPr>
              <w:spacing w:before="60" w:after="60"/>
              <w:jc w:val="right"/>
              <w:rPr>
                <w:sz w:val="26"/>
                <w:szCs w:val="26"/>
                <w:lang w:val="vi-VN"/>
              </w:rPr>
            </w:pPr>
            <w:r w:rsidRPr="00C304EA">
              <w:rPr>
                <w:sz w:val="26"/>
                <w:szCs w:val="26"/>
              </w:rPr>
              <w:t>5.249.751.228</w:t>
            </w:r>
          </w:p>
        </w:tc>
        <w:tc>
          <w:tcPr>
            <w:tcW w:w="1803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46995" w:rsidRPr="00C304EA" w:rsidTr="002E262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691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Trích Quỹ Đầu tư Phát triển 10%</w:t>
            </w:r>
          </w:p>
        </w:tc>
        <w:tc>
          <w:tcPr>
            <w:tcW w:w="2589" w:type="dxa"/>
            <w:noWrap/>
            <w:vAlign w:val="center"/>
          </w:tcPr>
          <w:p w:rsidR="00846995" w:rsidRPr="00C304EA" w:rsidRDefault="00846995" w:rsidP="002E2620">
            <w:pPr>
              <w:spacing w:before="60" w:after="60"/>
              <w:jc w:val="right"/>
              <w:rPr>
                <w:sz w:val="26"/>
                <w:szCs w:val="26"/>
              </w:rPr>
            </w:pPr>
            <w:r w:rsidRPr="00C304EA">
              <w:rPr>
                <w:sz w:val="26"/>
                <w:szCs w:val="26"/>
              </w:rPr>
              <w:t>524.975.122</w:t>
            </w:r>
          </w:p>
        </w:tc>
        <w:tc>
          <w:tcPr>
            <w:tcW w:w="1803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46995" w:rsidRPr="00C304EA" w:rsidTr="002E262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691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Trích Quỹ Dự phòng bổ sung VĐL 5%</w:t>
            </w:r>
          </w:p>
        </w:tc>
        <w:tc>
          <w:tcPr>
            <w:tcW w:w="2589" w:type="dxa"/>
            <w:noWrap/>
            <w:vAlign w:val="center"/>
          </w:tcPr>
          <w:p w:rsidR="00846995" w:rsidRPr="00C304EA" w:rsidRDefault="00846995" w:rsidP="002E2620">
            <w:pPr>
              <w:spacing w:before="60" w:after="60"/>
              <w:jc w:val="right"/>
              <w:rPr>
                <w:sz w:val="26"/>
                <w:szCs w:val="26"/>
              </w:rPr>
            </w:pPr>
            <w:r w:rsidRPr="00C304EA">
              <w:rPr>
                <w:sz w:val="26"/>
                <w:szCs w:val="26"/>
              </w:rPr>
              <w:t>262.487.561</w:t>
            </w:r>
          </w:p>
        </w:tc>
        <w:tc>
          <w:tcPr>
            <w:tcW w:w="1803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46995" w:rsidRPr="00C304EA" w:rsidTr="002E2620">
        <w:trPr>
          <w:trHeight w:val="538"/>
        </w:trPr>
        <w:tc>
          <w:tcPr>
            <w:tcW w:w="709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691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Trích Quỹ Khen thưởng phúc lợi 10%</w:t>
            </w:r>
          </w:p>
        </w:tc>
        <w:tc>
          <w:tcPr>
            <w:tcW w:w="2589" w:type="dxa"/>
            <w:noWrap/>
            <w:vAlign w:val="center"/>
          </w:tcPr>
          <w:p w:rsidR="00846995" w:rsidRPr="00C304EA" w:rsidRDefault="00846995" w:rsidP="002E2620">
            <w:pPr>
              <w:spacing w:before="60" w:after="60"/>
              <w:jc w:val="right"/>
              <w:rPr>
                <w:sz w:val="26"/>
                <w:szCs w:val="26"/>
              </w:rPr>
            </w:pPr>
            <w:r w:rsidRPr="00C304EA">
              <w:rPr>
                <w:sz w:val="26"/>
                <w:szCs w:val="26"/>
              </w:rPr>
              <w:t>524.975.122</w:t>
            </w:r>
          </w:p>
        </w:tc>
        <w:tc>
          <w:tcPr>
            <w:tcW w:w="1803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846995" w:rsidRPr="00C304EA" w:rsidTr="002E2620">
        <w:trPr>
          <w:trHeight w:val="402"/>
        </w:trPr>
        <w:tc>
          <w:tcPr>
            <w:tcW w:w="709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691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C304EA">
              <w:rPr>
                <w:bCs/>
                <w:sz w:val="26"/>
                <w:szCs w:val="26"/>
              </w:rPr>
              <w:t>Thù lao HĐQT, BKS năm 2016</w:t>
            </w:r>
          </w:p>
        </w:tc>
        <w:tc>
          <w:tcPr>
            <w:tcW w:w="2589" w:type="dxa"/>
            <w:noWrap/>
            <w:vAlign w:val="center"/>
          </w:tcPr>
          <w:p w:rsidR="00846995" w:rsidRPr="00C304EA" w:rsidRDefault="00846995" w:rsidP="002E2620">
            <w:pPr>
              <w:spacing w:before="60" w:after="60"/>
              <w:jc w:val="right"/>
              <w:rPr>
                <w:sz w:val="26"/>
                <w:szCs w:val="26"/>
              </w:rPr>
            </w:pPr>
            <w:r w:rsidRPr="00C304EA">
              <w:rPr>
                <w:sz w:val="26"/>
                <w:szCs w:val="26"/>
              </w:rPr>
              <w:t>432.000.000</w:t>
            </w:r>
          </w:p>
        </w:tc>
        <w:tc>
          <w:tcPr>
            <w:tcW w:w="1803" w:type="dxa"/>
            <w:noWrap/>
            <w:vAlign w:val="center"/>
          </w:tcPr>
          <w:p w:rsidR="00846995" w:rsidRPr="00C304EA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846995" w:rsidRPr="00435D2C" w:rsidRDefault="00846995" w:rsidP="00846995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Kế hoạch SXKD năm 2017 của công ty:</w:t>
      </w:r>
    </w:p>
    <w:tbl>
      <w:tblPr>
        <w:tblW w:w="946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645"/>
        <w:gridCol w:w="2486"/>
        <w:gridCol w:w="2192"/>
        <w:gridCol w:w="2237"/>
        <w:gridCol w:w="1908"/>
      </w:tblGrid>
      <w:tr w:rsidR="00846995" w:rsidRPr="005F125F" w:rsidTr="002E2620">
        <w:trPr>
          <w:trHeight w:val="645"/>
        </w:trPr>
        <w:tc>
          <w:tcPr>
            <w:tcW w:w="645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TT</w:t>
            </w:r>
          </w:p>
        </w:tc>
        <w:tc>
          <w:tcPr>
            <w:tcW w:w="2486" w:type="dxa"/>
            <w:shd w:val="clear" w:color="auto" w:fill="548DD4"/>
            <w:noWrap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 w:rsidRPr="005F125F">
              <w:rPr>
                <w:b/>
                <w:bCs/>
              </w:rPr>
              <w:t>CHỈ TIÊU</w:t>
            </w:r>
          </w:p>
        </w:tc>
        <w:tc>
          <w:tcPr>
            <w:tcW w:w="2192" w:type="dxa"/>
            <w:shd w:val="clear" w:color="auto" w:fill="548DD4"/>
            <w:noWrap/>
            <w:vAlign w:val="center"/>
          </w:tcPr>
          <w:p w:rsidR="00846995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HIỆN</w:t>
            </w:r>
          </w:p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2016</w:t>
            </w:r>
          </w:p>
        </w:tc>
        <w:tc>
          <w:tcPr>
            <w:tcW w:w="2237" w:type="dxa"/>
            <w:shd w:val="clear" w:color="auto" w:fill="548DD4"/>
          </w:tcPr>
          <w:p w:rsidR="00846995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</w:t>
            </w:r>
          </w:p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2017</w:t>
            </w:r>
          </w:p>
        </w:tc>
        <w:tc>
          <w:tcPr>
            <w:tcW w:w="1908" w:type="dxa"/>
            <w:shd w:val="clear" w:color="auto" w:fill="548DD4"/>
            <w:vAlign w:val="center"/>
          </w:tcPr>
          <w:p w:rsidR="00846995" w:rsidRPr="005F125F" w:rsidRDefault="00846995" w:rsidP="002E262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TỶ LỆ </w:t>
            </w:r>
          </w:p>
        </w:tc>
      </w:tr>
      <w:tr w:rsidR="00846995" w:rsidRPr="00435D2C" w:rsidTr="002E2620">
        <w:trPr>
          <w:trHeight w:val="403"/>
        </w:trPr>
        <w:tc>
          <w:tcPr>
            <w:tcW w:w="645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86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Doanh thu </w:t>
            </w:r>
          </w:p>
        </w:tc>
        <w:tc>
          <w:tcPr>
            <w:tcW w:w="2192" w:type="dxa"/>
            <w:noWrap/>
            <w:vAlign w:val="center"/>
          </w:tcPr>
          <w:p w:rsidR="00846995" w:rsidRPr="007F34EE" w:rsidRDefault="00846995" w:rsidP="002E2620">
            <w:pPr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236.806.416.</w:t>
            </w:r>
            <w:r w:rsidRPr="007F34EE">
              <w:rPr>
                <w:sz w:val="26"/>
                <w:szCs w:val="26"/>
              </w:rPr>
              <w:t>213</w:t>
            </w:r>
          </w:p>
        </w:tc>
        <w:tc>
          <w:tcPr>
            <w:tcW w:w="2237" w:type="dxa"/>
            <w:vAlign w:val="center"/>
          </w:tcPr>
          <w:p w:rsidR="00846995" w:rsidRPr="009778AA" w:rsidRDefault="00846995" w:rsidP="002E2620">
            <w:pPr>
              <w:spacing w:before="60" w:after="60"/>
              <w:jc w:val="right"/>
              <w:rPr>
                <w:color w:val="000000"/>
              </w:rPr>
            </w:pPr>
            <w:r w:rsidRPr="009778A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778AA">
              <w:rPr>
                <w:color w:val="000000"/>
              </w:rPr>
              <w:t>000.000.000.000</w:t>
            </w:r>
          </w:p>
        </w:tc>
        <w:tc>
          <w:tcPr>
            <w:tcW w:w="1908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422%</w:t>
            </w:r>
          </w:p>
        </w:tc>
      </w:tr>
      <w:tr w:rsidR="00846995" w:rsidRPr="00435D2C" w:rsidTr="002E2620">
        <w:trPr>
          <w:trHeight w:val="411"/>
        </w:trPr>
        <w:tc>
          <w:tcPr>
            <w:tcW w:w="645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86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435D2C">
              <w:rPr>
                <w:bCs/>
                <w:sz w:val="26"/>
                <w:szCs w:val="26"/>
              </w:rPr>
              <w:t>Lợi nhuận sau thuế</w:t>
            </w:r>
          </w:p>
        </w:tc>
        <w:tc>
          <w:tcPr>
            <w:tcW w:w="2192" w:type="dxa"/>
            <w:noWrap/>
            <w:vAlign w:val="center"/>
          </w:tcPr>
          <w:p w:rsidR="00846995" w:rsidRPr="00435D2C" w:rsidRDefault="00846995" w:rsidP="002E2620">
            <w:pPr>
              <w:spacing w:before="60" w:after="60"/>
              <w:jc w:val="right"/>
              <w:rPr>
                <w:color w:val="000000"/>
                <w:sz w:val="26"/>
                <w:szCs w:val="26"/>
              </w:rPr>
            </w:pPr>
            <w:r w:rsidRPr="007F34E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.249.751.</w:t>
            </w:r>
            <w:r w:rsidRPr="007F34EE">
              <w:rPr>
                <w:sz w:val="26"/>
                <w:szCs w:val="26"/>
              </w:rPr>
              <w:t>228</w:t>
            </w:r>
          </w:p>
        </w:tc>
        <w:tc>
          <w:tcPr>
            <w:tcW w:w="2237" w:type="dxa"/>
            <w:vAlign w:val="center"/>
          </w:tcPr>
          <w:p w:rsidR="00846995" w:rsidRPr="009778AA" w:rsidRDefault="00846995" w:rsidP="002E2620">
            <w:pPr>
              <w:spacing w:before="60" w:after="60"/>
              <w:jc w:val="right"/>
              <w:rPr>
                <w:color w:val="000000"/>
              </w:rPr>
            </w:pPr>
            <w:r w:rsidRPr="006A7747">
              <w:rPr>
                <w:color w:val="000000"/>
              </w:rPr>
              <w:t>100</w:t>
            </w:r>
            <w:r>
              <w:rPr>
                <w:color w:val="000000"/>
              </w:rPr>
              <w:t>.000.</w:t>
            </w:r>
            <w:r w:rsidRPr="006A7747">
              <w:rPr>
                <w:color w:val="000000"/>
              </w:rPr>
              <w:t>000</w:t>
            </w:r>
            <w:r>
              <w:rPr>
                <w:color w:val="000000"/>
              </w:rPr>
              <w:t>.</w:t>
            </w:r>
            <w:r w:rsidRPr="006A7747">
              <w:rPr>
                <w:color w:val="000000"/>
              </w:rPr>
              <w:t xml:space="preserve">000   </w:t>
            </w:r>
          </w:p>
        </w:tc>
        <w:tc>
          <w:tcPr>
            <w:tcW w:w="1908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1.900%</w:t>
            </w:r>
          </w:p>
        </w:tc>
      </w:tr>
      <w:tr w:rsidR="00846995" w:rsidRPr="00435D2C" w:rsidTr="002E2620">
        <w:trPr>
          <w:trHeight w:val="387"/>
        </w:trPr>
        <w:tc>
          <w:tcPr>
            <w:tcW w:w="645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86" w:type="dxa"/>
            <w:noWrap/>
            <w:vAlign w:val="center"/>
          </w:tcPr>
          <w:p w:rsidR="00846995" w:rsidRPr="00435D2C" w:rsidRDefault="00846995" w:rsidP="002E2620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Vốn điều lệ </w:t>
            </w:r>
          </w:p>
        </w:tc>
        <w:tc>
          <w:tcPr>
            <w:tcW w:w="2192" w:type="dxa"/>
            <w:noWrap/>
            <w:vAlign w:val="center"/>
          </w:tcPr>
          <w:p w:rsidR="00846995" w:rsidRPr="009778AA" w:rsidRDefault="002A602A" w:rsidP="002E2620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sz w:val="26"/>
                <w:szCs w:val="26"/>
              </w:rPr>
              <w:t>345.966.840.000*</w:t>
            </w:r>
          </w:p>
        </w:tc>
        <w:tc>
          <w:tcPr>
            <w:tcW w:w="2237" w:type="dxa"/>
            <w:vAlign w:val="center"/>
          </w:tcPr>
          <w:p w:rsidR="00846995" w:rsidRPr="009778AA" w:rsidRDefault="00846995" w:rsidP="002E2620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532.422.300.000</w:t>
            </w:r>
          </w:p>
        </w:tc>
        <w:tc>
          <w:tcPr>
            <w:tcW w:w="1908" w:type="dxa"/>
            <w:noWrap/>
            <w:vAlign w:val="center"/>
          </w:tcPr>
          <w:p w:rsidR="00846995" w:rsidRPr="001F0E99" w:rsidRDefault="005F4604" w:rsidP="002E2620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  <w:r w:rsidR="00846995">
              <w:rPr>
                <w:sz w:val="26"/>
                <w:szCs w:val="26"/>
              </w:rPr>
              <w:t>%</w:t>
            </w:r>
          </w:p>
        </w:tc>
      </w:tr>
    </w:tbl>
    <w:p w:rsidR="00D34722" w:rsidRPr="002A602A" w:rsidRDefault="002A602A" w:rsidP="00D34722">
      <w:pPr>
        <w:spacing w:before="120" w:after="120" w:line="340" w:lineRule="exact"/>
        <w:ind w:left="561"/>
        <w:jc w:val="both"/>
        <w:rPr>
          <w:sz w:val="26"/>
        </w:rPr>
      </w:pPr>
      <w:r>
        <w:rPr>
          <w:b/>
          <w:sz w:val="26"/>
        </w:rPr>
        <w:t xml:space="preserve">Ghí chú: (* ) </w:t>
      </w:r>
      <w:r w:rsidRPr="002A602A">
        <w:rPr>
          <w:sz w:val="26"/>
        </w:rPr>
        <w:t>Theo số liệu báo cáo kết quả phát hành ngày 23/01/2017</w:t>
      </w:r>
    </w:p>
    <w:p w:rsidR="00846995" w:rsidRPr="007163D6" w:rsidRDefault="00846995" w:rsidP="00846995">
      <w:pPr>
        <w:numPr>
          <w:ilvl w:val="0"/>
          <w:numId w:val="4"/>
        </w:numPr>
        <w:spacing w:before="120" w:after="120" w:line="340" w:lineRule="exact"/>
        <w:ind w:left="561" w:hanging="561"/>
        <w:jc w:val="both"/>
        <w:rPr>
          <w:b/>
          <w:sz w:val="26"/>
        </w:rPr>
      </w:pPr>
      <w:r w:rsidRPr="007163D6">
        <w:rPr>
          <w:b/>
          <w:sz w:val="26"/>
          <w:szCs w:val="26"/>
        </w:rPr>
        <w:t xml:space="preserve">Thông qua các báo cáo: </w:t>
      </w:r>
    </w:p>
    <w:p w:rsidR="00846995" w:rsidRPr="009821E6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</w:rPr>
      </w:pPr>
      <w:r w:rsidRPr="009821E6">
        <w:rPr>
          <w:sz w:val="26"/>
        </w:rPr>
        <w:t>Báo cáo tài chính 201</w:t>
      </w:r>
      <w:r>
        <w:rPr>
          <w:sz w:val="26"/>
        </w:rPr>
        <w:t>6</w:t>
      </w:r>
      <w:r w:rsidRPr="009821E6">
        <w:rPr>
          <w:sz w:val="26"/>
        </w:rPr>
        <w:t xml:space="preserve"> và báo cáo </w:t>
      </w:r>
      <w:r>
        <w:rPr>
          <w:sz w:val="26"/>
        </w:rPr>
        <w:t xml:space="preserve">tài chính </w:t>
      </w:r>
      <w:r w:rsidRPr="009821E6">
        <w:rPr>
          <w:sz w:val="26"/>
        </w:rPr>
        <w:t>hợp nhất năm 201</w:t>
      </w:r>
      <w:r>
        <w:rPr>
          <w:sz w:val="26"/>
        </w:rPr>
        <w:t>6</w:t>
      </w:r>
      <w:r w:rsidRPr="009821E6">
        <w:rPr>
          <w:sz w:val="26"/>
        </w:rPr>
        <w:t xml:space="preserve"> đã được kiểm toán</w:t>
      </w:r>
    </w:p>
    <w:p w:rsidR="00846995" w:rsidRPr="0043365F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</w:rPr>
      </w:pPr>
      <w:r w:rsidRPr="0043365F">
        <w:rPr>
          <w:sz w:val="26"/>
        </w:rPr>
        <w:t>Báo cáo kết quả SXKD năm 201</w:t>
      </w:r>
      <w:r>
        <w:rPr>
          <w:sz w:val="26"/>
        </w:rPr>
        <w:t>6</w:t>
      </w:r>
      <w:r w:rsidRPr="0043365F">
        <w:rPr>
          <w:sz w:val="26"/>
        </w:rPr>
        <w:t xml:space="preserve"> và Kế hoạch SXKD năm 201</w:t>
      </w:r>
      <w:r>
        <w:rPr>
          <w:sz w:val="26"/>
        </w:rPr>
        <w:t>7</w:t>
      </w:r>
      <w:r w:rsidRPr="0043365F">
        <w:rPr>
          <w:sz w:val="26"/>
        </w:rPr>
        <w:t xml:space="preserve"> của Ban điều hành. </w:t>
      </w:r>
    </w:p>
    <w:p w:rsidR="00846995" w:rsidRPr="009821E6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</w:rPr>
      </w:pPr>
      <w:r w:rsidRPr="0043365F">
        <w:rPr>
          <w:sz w:val="26"/>
        </w:rPr>
        <w:t>Báo cáo kết quả hoạt động 201</w:t>
      </w:r>
      <w:r>
        <w:rPr>
          <w:sz w:val="26"/>
        </w:rPr>
        <w:t>6</w:t>
      </w:r>
      <w:r w:rsidRPr="0043365F">
        <w:rPr>
          <w:sz w:val="26"/>
        </w:rPr>
        <w:t xml:space="preserve"> và kế hoạch hoạt động năm 201</w:t>
      </w:r>
      <w:r>
        <w:rPr>
          <w:sz w:val="26"/>
        </w:rPr>
        <w:t>7</w:t>
      </w:r>
      <w:r w:rsidRPr="0043365F">
        <w:rPr>
          <w:sz w:val="26"/>
        </w:rPr>
        <w:t xml:space="preserve"> của Ban</w:t>
      </w:r>
      <w:r w:rsidRPr="009821E6">
        <w:rPr>
          <w:sz w:val="26"/>
        </w:rPr>
        <w:t xml:space="preserve"> kiểm soát;</w:t>
      </w:r>
    </w:p>
    <w:p w:rsidR="00846995" w:rsidRPr="008D40A6" w:rsidRDefault="00846995" w:rsidP="00846995">
      <w:pPr>
        <w:numPr>
          <w:ilvl w:val="0"/>
          <w:numId w:val="4"/>
        </w:numPr>
        <w:spacing w:before="120" w:after="120" w:line="340" w:lineRule="exact"/>
        <w:ind w:left="561" w:hanging="561"/>
        <w:jc w:val="both"/>
        <w:rPr>
          <w:b/>
          <w:sz w:val="26"/>
          <w:szCs w:val="26"/>
          <w:lang w:val="vi-VN"/>
        </w:rPr>
      </w:pPr>
      <w:r w:rsidRPr="008D0038">
        <w:rPr>
          <w:b/>
          <w:sz w:val="26"/>
          <w:szCs w:val="26"/>
          <w:lang w:val="vi-VN"/>
        </w:rPr>
        <w:t xml:space="preserve">Thông qua việc </w:t>
      </w:r>
      <w:r w:rsidRPr="00233935">
        <w:rPr>
          <w:b/>
          <w:sz w:val="26"/>
          <w:szCs w:val="26"/>
          <w:lang w:val="vi-VN"/>
        </w:rPr>
        <w:t>chi thù lao năm 201</w:t>
      </w:r>
      <w:r>
        <w:rPr>
          <w:b/>
          <w:sz w:val="26"/>
          <w:szCs w:val="26"/>
        </w:rPr>
        <w:t>6</w:t>
      </w:r>
      <w:r w:rsidRPr="00233935">
        <w:rPr>
          <w:b/>
          <w:sz w:val="26"/>
          <w:szCs w:val="26"/>
          <w:lang w:val="vi-VN"/>
        </w:rPr>
        <w:t xml:space="preserve"> và </w:t>
      </w:r>
      <w:r w:rsidRPr="008D40A6">
        <w:rPr>
          <w:b/>
          <w:sz w:val="26"/>
          <w:szCs w:val="26"/>
          <w:lang w:val="vi-VN"/>
        </w:rPr>
        <w:t xml:space="preserve">kế hoạch thù lao của thành viên </w:t>
      </w:r>
      <w:r>
        <w:rPr>
          <w:b/>
          <w:sz w:val="26"/>
          <w:szCs w:val="26"/>
        </w:rPr>
        <w:t>Hội đồng quản trị và Ban kiểm soát</w:t>
      </w:r>
      <w:r w:rsidRPr="008D40A6">
        <w:rPr>
          <w:b/>
          <w:sz w:val="26"/>
          <w:szCs w:val="26"/>
          <w:lang w:val="vi-VN"/>
        </w:rPr>
        <w:t xml:space="preserve"> năm 201</w:t>
      </w:r>
      <w:r>
        <w:rPr>
          <w:b/>
          <w:sz w:val="26"/>
          <w:szCs w:val="26"/>
        </w:rPr>
        <w:t>7</w:t>
      </w:r>
      <w:r w:rsidRPr="0076606E">
        <w:rPr>
          <w:b/>
          <w:sz w:val="26"/>
          <w:szCs w:val="26"/>
          <w:lang w:val="vi-VN"/>
        </w:rPr>
        <w:t>:</w:t>
      </w:r>
    </w:p>
    <w:p w:rsidR="00846995" w:rsidRDefault="00846995" w:rsidP="00846995">
      <w:pPr>
        <w:numPr>
          <w:ilvl w:val="1"/>
          <w:numId w:val="4"/>
        </w:numPr>
        <w:spacing w:line="34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Kế hoạch chi thù lao năm 2016</w:t>
      </w:r>
    </w:p>
    <w:p w:rsidR="00846995" w:rsidRPr="005F125F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  <w:szCs w:val="26"/>
        </w:rPr>
      </w:pPr>
      <w:r w:rsidRPr="005F125F">
        <w:rPr>
          <w:sz w:val="26"/>
          <w:szCs w:val="26"/>
        </w:rPr>
        <w:t>Tổng mức thù lao của HĐQT là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F125F">
        <w:rPr>
          <w:sz w:val="26"/>
          <w:szCs w:val="26"/>
        </w:rPr>
        <w:t xml:space="preserve">: </w:t>
      </w:r>
      <w:r>
        <w:rPr>
          <w:sz w:val="26"/>
          <w:szCs w:val="26"/>
        </w:rPr>
        <w:t>324.000.000 đồng</w:t>
      </w:r>
    </w:p>
    <w:p w:rsidR="00846995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  <w:szCs w:val="26"/>
        </w:rPr>
      </w:pPr>
      <w:r w:rsidRPr="005F125F">
        <w:rPr>
          <w:sz w:val="26"/>
          <w:szCs w:val="26"/>
        </w:rPr>
        <w:t>Tổng mức thù lao của Ban Kiểm soát là</w:t>
      </w:r>
      <w:r>
        <w:rPr>
          <w:sz w:val="26"/>
          <w:szCs w:val="26"/>
        </w:rPr>
        <w:tab/>
      </w:r>
      <w:r w:rsidRPr="005F125F">
        <w:rPr>
          <w:sz w:val="26"/>
          <w:szCs w:val="26"/>
        </w:rPr>
        <w:t xml:space="preserve">: </w:t>
      </w:r>
      <w:r>
        <w:rPr>
          <w:sz w:val="26"/>
          <w:szCs w:val="26"/>
        </w:rPr>
        <w:t>108.000.000 đồng</w:t>
      </w:r>
    </w:p>
    <w:p w:rsidR="00846995" w:rsidRDefault="00846995" w:rsidP="00846995">
      <w:pPr>
        <w:numPr>
          <w:ilvl w:val="1"/>
          <w:numId w:val="4"/>
        </w:numPr>
        <w:spacing w:line="34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Kế hoạch chi thù lao năm 2017</w:t>
      </w:r>
    </w:p>
    <w:p w:rsidR="00846995" w:rsidRDefault="00B36B1C" w:rsidP="00846995">
      <w:pPr>
        <w:spacing w:line="340" w:lineRule="exact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846995">
        <w:rPr>
          <w:sz w:val="26"/>
          <w:szCs w:val="26"/>
        </w:rPr>
        <w:t xml:space="preserve">hù lao của thành viên HĐQT và BKS </w:t>
      </w:r>
      <w:r>
        <w:rPr>
          <w:sz w:val="26"/>
          <w:szCs w:val="26"/>
        </w:rPr>
        <w:t>năm 2017</w:t>
      </w:r>
      <w:r w:rsidR="00846995">
        <w:rPr>
          <w:sz w:val="26"/>
          <w:szCs w:val="26"/>
        </w:rPr>
        <w:t>:</w:t>
      </w:r>
    </w:p>
    <w:p w:rsidR="00846995" w:rsidRDefault="00B36B1C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Tổng </w:t>
      </w:r>
      <w:r w:rsidR="00846995" w:rsidRPr="005070EA">
        <w:rPr>
          <w:sz w:val="26"/>
          <w:szCs w:val="26"/>
        </w:rPr>
        <w:t xml:space="preserve">mức thù lao: </w:t>
      </w:r>
      <w:r w:rsidR="00846995">
        <w:rPr>
          <w:sz w:val="26"/>
          <w:szCs w:val="26"/>
        </w:rPr>
        <w:t>1.200</w:t>
      </w:r>
      <w:r w:rsidR="00846995" w:rsidRPr="005070EA">
        <w:rPr>
          <w:sz w:val="26"/>
          <w:szCs w:val="26"/>
        </w:rPr>
        <w:t xml:space="preserve">.000.000đ </w:t>
      </w:r>
      <w:r w:rsidR="0025444C">
        <w:rPr>
          <w:sz w:val="26"/>
          <w:szCs w:val="26"/>
        </w:rPr>
        <w:t>(Một tỷ hai trăm triệu đồng)</w:t>
      </w:r>
    </w:p>
    <w:p w:rsidR="00846995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Thưởng cho HĐQT hoàn thành vượt mức kế hoạch sẽ được thưởng: 5% phần lợi nhuận vượt kế hoạch.</w:t>
      </w:r>
    </w:p>
    <w:p w:rsidR="00846995" w:rsidRPr="005070EA" w:rsidRDefault="00846995" w:rsidP="00846995">
      <w:pPr>
        <w:numPr>
          <w:ilvl w:val="0"/>
          <w:numId w:val="3"/>
        </w:numPr>
        <w:spacing w:line="340" w:lineRule="exact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Ủy quyền cho Hội đồng quản trị phân phối tiền thù lao cho thành viên HĐQT, Ban kiểm soát.</w:t>
      </w:r>
    </w:p>
    <w:p w:rsidR="00846995" w:rsidRPr="005F125F" w:rsidRDefault="00846995" w:rsidP="00846995">
      <w:pPr>
        <w:numPr>
          <w:ilvl w:val="0"/>
          <w:numId w:val="4"/>
        </w:numPr>
        <w:spacing w:before="120" w:after="120" w:line="340" w:lineRule="exact"/>
        <w:ind w:left="561" w:hanging="561"/>
        <w:jc w:val="both"/>
        <w:rPr>
          <w:b/>
          <w:sz w:val="26"/>
          <w:szCs w:val="26"/>
        </w:rPr>
      </w:pPr>
      <w:r w:rsidRPr="005F125F">
        <w:rPr>
          <w:b/>
          <w:sz w:val="26"/>
          <w:szCs w:val="26"/>
        </w:rPr>
        <w:t>Thông qua việc lựa chọn đơn vị kiểm toán</w:t>
      </w:r>
      <w:r>
        <w:rPr>
          <w:b/>
          <w:sz w:val="26"/>
          <w:szCs w:val="26"/>
        </w:rPr>
        <w:t xml:space="preserve"> báo cáo tài chính</w:t>
      </w:r>
      <w:r w:rsidRPr="005F125F">
        <w:rPr>
          <w:b/>
          <w:sz w:val="26"/>
          <w:szCs w:val="26"/>
        </w:rPr>
        <w:t xml:space="preserve"> năm 201</w:t>
      </w:r>
      <w:r>
        <w:rPr>
          <w:b/>
          <w:sz w:val="26"/>
          <w:szCs w:val="26"/>
        </w:rPr>
        <w:t>6:</w:t>
      </w:r>
    </w:p>
    <w:p w:rsidR="00B36B1C" w:rsidRPr="00C135F9" w:rsidRDefault="00846995" w:rsidP="009D7888">
      <w:pPr>
        <w:spacing w:line="380" w:lineRule="exact"/>
        <w:ind w:left="540"/>
        <w:jc w:val="both"/>
        <w:rPr>
          <w:sz w:val="26"/>
          <w:szCs w:val="26"/>
        </w:rPr>
      </w:pPr>
      <w:r w:rsidRPr="005F125F">
        <w:rPr>
          <w:sz w:val="26"/>
          <w:szCs w:val="26"/>
        </w:rPr>
        <w:t>Theo đề xuất của Ban kiểm soát, Hội đồng Quản trị kính trình ĐHĐCĐ thường niên 201</w:t>
      </w:r>
      <w:r>
        <w:rPr>
          <w:sz w:val="26"/>
          <w:szCs w:val="26"/>
        </w:rPr>
        <w:t>7</w:t>
      </w:r>
      <w:r w:rsidRPr="005F125F">
        <w:rPr>
          <w:sz w:val="26"/>
          <w:szCs w:val="26"/>
        </w:rPr>
        <w:t xml:space="preserve"> uỷ quyền cho Hội đồng quản trị lựa chọn một trong các đơn vị kiểm toán được UBCK chấp thuận tiến hành kiểm toán Báo cáo chính năm 201</w:t>
      </w:r>
      <w:r>
        <w:rPr>
          <w:sz w:val="26"/>
          <w:szCs w:val="26"/>
        </w:rPr>
        <w:t>7</w:t>
      </w:r>
      <w:r w:rsidR="009D7888">
        <w:rPr>
          <w:sz w:val="26"/>
          <w:szCs w:val="26"/>
        </w:rPr>
        <w:t xml:space="preserve"> của Công ty.</w:t>
      </w:r>
    </w:p>
    <w:p w:rsidR="007448E0" w:rsidRPr="005F125F" w:rsidRDefault="007448E0" w:rsidP="007448E0">
      <w:pPr>
        <w:spacing w:before="120" w:after="120" w:line="340" w:lineRule="exact"/>
        <w:ind w:left="540"/>
        <w:jc w:val="both"/>
        <w:rPr>
          <w:b/>
          <w:i/>
          <w:sz w:val="26"/>
          <w:szCs w:val="26"/>
        </w:rPr>
      </w:pPr>
      <w:r w:rsidRPr="005F125F">
        <w:rPr>
          <w:b/>
          <w:i/>
          <w:sz w:val="26"/>
          <w:szCs w:val="26"/>
        </w:rPr>
        <w:t>Trên đây là nội dung các vấn đề HĐQT kính trình ĐHĐCĐ thường niên năm 201</w:t>
      </w:r>
      <w:r w:rsidR="00C135F9">
        <w:rPr>
          <w:b/>
          <w:i/>
          <w:sz w:val="26"/>
          <w:szCs w:val="26"/>
        </w:rPr>
        <w:t>7</w:t>
      </w:r>
      <w:r w:rsidR="00D0682E">
        <w:rPr>
          <w:b/>
          <w:i/>
          <w:sz w:val="26"/>
          <w:szCs w:val="26"/>
        </w:rPr>
        <w:t xml:space="preserve">  </w:t>
      </w:r>
      <w:r w:rsidRPr="005F125F">
        <w:rPr>
          <w:b/>
          <w:i/>
          <w:sz w:val="26"/>
          <w:szCs w:val="26"/>
        </w:rPr>
        <w:t xml:space="preserve"> thông qua. </w:t>
      </w:r>
    </w:p>
    <w:tbl>
      <w:tblPr>
        <w:tblW w:w="9463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5271"/>
      </w:tblGrid>
      <w:tr w:rsidR="007448E0" w:rsidRPr="00B915D9" w:rsidTr="007B2F99">
        <w:tc>
          <w:tcPr>
            <w:tcW w:w="4192" w:type="dxa"/>
          </w:tcPr>
          <w:p w:rsidR="00C135F9" w:rsidRDefault="00C135F9" w:rsidP="007B2F99">
            <w:pPr>
              <w:pStyle w:val="BodyText2"/>
              <w:spacing w:line="360" w:lineRule="exact"/>
              <w:rPr>
                <w:rFonts w:cs="Tahoma"/>
                <w:b/>
                <w:i/>
                <w:sz w:val="26"/>
                <w:szCs w:val="26"/>
                <w:lang w:val="nl-NL"/>
              </w:rPr>
            </w:pPr>
          </w:p>
          <w:p w:rsidR="007448E0" w:rsidRPr="005F125F" w:rsidRDefault="007448E0" w:rsidP="007B2F99">
            <w:pPr>
              <w:pStyle w:val="BodyText2"/>
              <w:spacing w:line="360" w:lineRule="exact"/>
              <w:rPr>
                <w:rFonts w:cs="Tahoma"/>
                <w:b/>
                <w:i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i/>
                <w:sz w:val="26"/>
                <w:szCs w:val="26"/>
                <w:lang w:val="nl-NL"/>
              </w:rPr>
              <w:t>Nơi nhận:</w:t>
            </w:r>
          </w:p>
          <w:p w:rsidR="007448E0" w:rsidRDefault="007448E0" w:rsidP="007448E0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Cs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ĐHĐCĐ thường niên 201</w:t>
            </w:r>
            <w:r w:rsidR="00920817">
              <w:rPr>
                <w:rFonts w:cs="Tahoma"/>
                <w:bCs/>
                <w:iCs/>
                <w:sz w:val="26"/>
                <w:szCs w:val="26"/>
                <w:lang w:val="nl-NL"/>
              </w:rPr>
              <w:t>7</w:t>
            </w: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;</w:t>
            </w:r>
          </w:p>
          <w:p w:rsidR="007448E0" w:rsidRPr="005F125F" w:rsidRDefault="007448E0" w:rsidP="007448E0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Cs/>
                <w:sz w:val="26"/>
                <w:szCs w:val="26"/>
                <w:lang w:val="nl-NL"/>
              </w:rPr>
            </w:pPr>
            <w:r>
              <w:rPr>
                <w:rFonts w:cs="Tahoma"/>
                <w:bCs/>
                <w:iCs/>
                <w:sz w:val="26"/>
                <w:szCs w:val="26"/>
                <w:lang w:val="nl-NL"/>
              </w:rPr>
              <w:t>Thành viên HĐQT;</w:t>
            </w:r>
          </w:p>
          <w:p w:rsidR="007448E0" w:rsidRPr="005F125F" w:rsidRDefault="007448E0" w:rsidP="007448E0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Lưu VPCty.</w:t>
            </w:r>
          </w:p>
        </w:tc>
        <w:tc>
          <w:tcPr>
            <w:tcW w:w="5271" w:type="dxa"/>
          </w:tcPr>
          <w:p w:rsidR="007448E0" w:rsidRPr="005F125F" w:rsidRDefault="007448E0" w:rsidP="007B2F99">
            <w:pPr>
              <w:pStyle w:val="Heading6"/>
              <w:spacing w:before="0" w:line="360" w:lineRule="exact"/>
              <w:jc w:val="center"/>
              <w:rPr>
                <w:rFonts w:cs="Tahoma"/>
                <w:iCs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iCs/>
                <w:sz w:val="26"/>
                <w:szCs w:val="26"/>
                <w:lang w:val="nl-NL"/>
              </w:rPr>
              <w:t>TM. HỘI ĐỒNG QUẢN TRỊ</w:t>
            </w:r>
          </w:p>
          <w:p w:rsidR="007448E0" w:rsidRDefault="007448E0" w:rsidP="007B2F99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sz w:val="26"/>
                <w:szCs w:val="26"/>
                <w:lang w:val="nl-NL"/>
              </w:rPr>
              <w:t>CHỦ TỊCH</w:t>
            </w:r>
          </w:p>
          <w:p w:rsidR="009D7888" w:rsidRDefault="009D7888" w:rsidP="007B2F99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:rsidR="009D7888" w:rsidRPr="005F125F" w:rsidRDefault="00D223B3" w:rsidP="007B2F99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sz w:val="26"/>
                <w:szCs w:val="26"/>
                <w:lang w:val="nl-NL"/>
              </w:rPr>
              <w:t>(Đã ký)</w:t>
            </w:r>
            <w:bookmarkStart w:id="0" w:name="_GoBack"/>
            <w:bookmarkEnd w:id="0"/>
          </w:p>
          <w:p w:rsidR="007448E0" w:rsidRDefault="007448E0" w:rsidP="007B2F99">
            <w:pPr>
              <w:jc w:val="both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:rsidR="0041168A" w:rsidRPr="005F125F" w:rsidRDefault="0041168A" w:rsidP="007B2F99">
            <w:pPr>
              <w:jc w:val="both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:rsidR="007448E0" w:rsidRPr="005F125F" w:rsidRDefault="007448E0" w:rsidP="007B2F99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sz w:val="26"/>
                <w:szCs w:val="26"/>
                <w:lang w:val="nl-NL"/>
              </w:rPr>
              <w:t>LÊ HÀ GIANG</w:t>
            </w:r>
          </w:p>
        </w:tc>
      </w:tr>
    </w:tbl>
    <w:p w:rsidR="007448E0" w:rsidRDefault="007448E0" w:rsidP="007448E0">
      <w:pPr>
        <w:spacing w:line="320" w:lineRule="exact"/>
        <w:rPr>
          <w:i/>
          <w:iCs/>
          <w:sz w:val="26"/>
          <w:szCs w:val="26"/>
          <w:lang w:val="nl-NL"/>
        </w:rPr>
      </w:pPr>
    </w:p>
    <w:sectPr w:rsidR="007448E0" w:rsidSect="00D34722">
      <w:pgSz w:w="11907" w:h="16840" w:code="9"/>
      <w:pgMar w:top="851" w:right="113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merce">
    <w:altName w:val="Malgun Gothic Semilight"/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VNI-HandelGothic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40D"/>
    <w:multiLevelType w:val="multilevel"/>
    <w:tmpl w:val="FCE81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8CE781D"/>
    <w:multiLevelType w:val="hybridMultilevel"/>
    <w:tmpl w:val="FB047412"/>
    <w:lvl w:ilvl="0" w:tplc="DBE8D34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73FD8"/>
    <w:multiLevelType w:val="hybridMultilevel"/>
    <w:tmpl w:val="8CB0A4DA"/>
    <w:lvl w:ilvl="0" w:tplc="042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DDD78E6"/>
    <w:multiLevelType w:val="hybridMultilevel"/>
    <w:tmpl w:val="8BBA0046"/>
    <w:lvl w:ilvl="0" w:tplc="F31874A6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405689F"/>
    <w:multiLevelType w:val="multilevel"/>
    <w:tmpl w:val="79BC95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448E0"/>
    <w:rsid w:val="00037453"/>
    <w:rsid w:val="00066369"/>
    <w:rsid w:val="001017C8"/>
    <w:rsid w:val="001A38AB"/>
    <w:rsid w:val="001F739C"/>
    <w:rsid w:val="0025444C"/>
    <w:rsid w:val="0029313E"/>
    <w:rsid w:val="002A602A"/>
    <w:rsid w:val="002F7A74"/>
    <w:rsid w:val="00314A90"/>
    <w:rsid w:val="0033574D"/>
    <w:rsid w:val="0037009D"/>
    <w:rsid w:val="00376A2E"/>
    <w:rsid w:val="003B0587"/>
    <w:rsid w:val="003B521A"/>
    <w:rsid w:val="0040115B"/>
    <w:rsid w:val="0041168A"/>
    <w:rsid w:val="00436E54"/>
    <w:rsid w:val="004A51F8"/>
    <w:rsid w:val="005070EA"/>
    <w:rsid w:val="005C4FB9"/>
    <w:rsid w:val="005C66B8"/>
    <w:rsid w:val="005F4604"/>
    <w:rsid w:val="0061042D"/>
    <w:rsid w:val="006A37D0"/>
    <w:rsid w:val="006F3F65"/>
    <w:rsid w:val="00707B0B"/>
    <w:rsid w:val="007448E0"/>
    <w:rsid w:val="00812B37"/>
    <w:rsid w:val="00842D18"/>
    <w:rsid w:val="00846995"/>
    <w:rsid w:val="008C27C1"/>
    <w:rsid w:val="008C7313"/>
    <w:rsid w:val="009102AB"/>
    <w:rsid w:val="00920817"/>
    <w:rsid w:val="009778AA"/>
    <w:rsid w:val="009860F3"/>
    <w:rsid w:val="009A482B"/>
    <w:rsid w:val="009D7888"/>
    <w:rsid w:val="00A33401"/>
    <w:rsid w:val="00A44A0E"/>
    <w:rsid w:val="00AA0D8C"/>
    <w:rsid w:val="00B36B1C"/>
    <w:rsid w:val="00B503C2"/>
    <w:rsid w:val="00C135F9"/>
    <w:rsid w:val="00C267BA"/>
    <w:rsid w:val="00C76541"/>
    <w:rsid w:val="00D03470"/>
    <w:rsid w:val="00D0682E"/>
    <w:rsid w:val="00D223B3"/>
    <w:rsid w:val="00D34722"/>
    <w:rsid w:val="00F7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44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48E0"/>
    <w:rPr>
      <w:rFonts w:ascii="Times New Roman" w:eastAsia="Times New Roman" w:hAnsi="Times New Roman" w:cs="Times New Roman"/>
      <w:b/>
      <w:bCs/>
    </w:rPr>
  </w:style>
  <w:style w:type="paragraph" w:customStyle="1" w:styleId="PNORMAL">
    <w:name w:val="P.NORMAL"/>
    <w:basedOn w:val="Normal"/>
    <w:rsid w:val="007448E0"/>
    <w:pPr>
      <w:spacing w:before="76" w:after="153"/>
    </w:pPr>
    <w:rPr>
      <w:rFonts w:eastAsia=".VnTime" w:cs="Arial"/>
      <w:szCs w:val="20"/>
    </w:rPr>
  </w:style>
  <w:style w:type="paragraph" w:styleId="BodyText2">
    <w:name w:val="Body Text 2"/>
    <w:basedOn w:val="Normal"/>
    <w:link w:val="BodyText2Char"/>
    <w:rsid w:val="007448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48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HUYEN</dc:creator>
  <cp:lastModifiedBy>Windows User</cp:lastModifiedBy>
  <cp:revision>52</cp:revision>
  <cp:lastPrinted>2017-04-22T01:52:00Z</cp:lastPrinted>
  <dcterms:created xsi:type="dcterms:W3CDTF">2016-05-25T11:06:00Z</dcterms:created>
  <dcterms:modified xsi:type="dcterms:W3CDTF">2017-04-22T08:54:00Z</dcterms:modified>
</cp:coreProperties>
</file>